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8"/>
        <w:spacing w:before="0" w:beforeAutospacing="0" w:after="0" w:afterAutospacing="0" w:line="600" w:lineRule="exact"/>
        <w:jc w:val="center"/>
        <w:rPr>
          <w:rStyle w:val="11"/>
          <w:rFonts w:ascii="黑体" w:eastAsia="黑体"/>
          <w:sz w:val="44"/>
          <w:szCs w:val="44"/>
        </w:rPr>
      </w:pPr>
      <w:r>
        <w:rPr>
          <w:rStyle w:val="9"/>
          <w:rFonts w:ascii="黑体" w:eastAsia="黑体" w:cs="宋体"/>
          <w:sz w:val="44"/>
          <w:szCs w:val="44"/>
        </w:rPr>
        <w:t>中国人民政治协商会议</w:t>
      </w:r>
    </w:p>
    <w:p>
      <w:pPr>
        <w:pStyle w:val="16"/>
        <w:spacing w:before="0" w:beforeAutospacing="0" w:after="0" w:afterAutospacing="0" w:line="600" w:lineRule="exact"/>
        <w:jc w:val="center"/>
        <w:rPr>
          <w:rStyle w:val="11"/>
          <w:rFonts w:hint="eastAsia"/>
          <w:sz w:val="44"/>
          <w:szCs w:val="44"/>
        </w:rPr>
      </w:pPr>
      <w:r>
        <w:rPr>
          <w:rStyle w:val="11"/>
          <w:sz w:val="44"/>
          <w:szCs w:val="44"/>
        </w:rPr>
        <w:t>黔东南苗族侗族自治州委员会</w:t>
      </w:r>
    </w:p>
    <w:p>
      <w:pPr>
        <w:pStyle w:val="16"/>
        <w:spacing w:before="0" w:beforeAutospacing="0" w:after="0" w:afterAutospacing="0" w:line="600" w:lineRule="exact"/>
        <w:jc w:val="center"/>
        <w:rPr>
          <w:rStyle w:val="11"/>
          <w:rFonts w:hint="eastAsia"/>
          <w:sz w:val="44"/>
          <w:szCs w:val="44"/>
        </w:rPr>
      </w:pPr>
      <w:r>
        <w:rPr>
          <w:rStyle w:val="11"/>
          <w:sz w:val="44"/>
          <w:szCs w:val="44"/>
        </w:rPr>
        <w:t>提</w:t>
      </w:r>
      <w:r>
        <w:rPr>
          <w:rStyle w:val="11"/>
          <w:rFonts w:hint="eastAsia"/>
          <w:sz w:val="44"/>
          <w:szCs w:val="44"/>
        </w:rPr>
        <w:t xml:space="preserve">   </w:t>
      </w:r>
      <w:r>
        <w:rPr>
          <w:rStyle w:val="11"/>
          <w:sz w:val="44"/>
          <w:szCs w:val="44"/>
        </w:rPr>
        <w:t>案</w:t>
      </w:r>
    </w:p>
    <w:p>
      <w:pPr>
        <w:spacing w:line="320" w:lineRule="exact"/>
        <w:jc w:val="center"/>
        <w:textAlignment w:val="top"/>
        <w:rPr>
          <w:rStyle w:val="11"/>
          <w:rFonts w:hint="eastAsia" w:ascii="宋体" w:hAnsi="宋体"/>
          <w:kern w:val="0"/>
          <w:sz w:val="24"/>
        </w:rPr>
      </w:pPr>
    </w:p>
    <w:p>
      <w:pPr>
        <w:spacing w:line="320" w:lineRule="exact"/>
        <w:jc w:val="center"/>
        <w:textAlignment w:val="top"/>
        <w:rPr>
          <w:rStyle w:val="11"/>
          <w:rFonts w:hint="eastAsia" w:ascii="宋体" w:hAnsi="宋体"/>
          <w:kern w:val="0"/>
          <w:sz w:val="24"/>
        </w:rPr>
      </w:pPr>
    </w:p>
    <w:p>
      <w:pPr>
        <w:spacing w:line="760" w:lineRule="exact"/>
        <w:jc w:val="both"/>
        <w:textAlignment w:val="top"/>
        <w:rPr>
          <w:rStyle w:val="11"/>
          <w:rFonts w:ascii="宋体" w:hAnsi="宋体"/>
          <w:kern w:val="0"/>
          <w:sz w:val="24"/>
        </w:rPr>
      </w:pPr>
      <w:r>
        <w:rPr>
          <w:rStyle w:val="11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12080" cy="35560"/>
                <wp:effectExtent l="0" t="0" r="7620" b="2540"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12080" cy="3556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2.8pt;width:410.4pt;" fillcolor="#ACA899" filled="t" stroked="f" coordsize="21600,21600" o:gfxdata="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K3ccfDTAAAAAwEAAA8AAAAAAAAAAQAgAAAAIgAAAGRycy9kb3ducmV2LnhtbFBLAQIU&#10;ABQAAAAIAIdO4kC+6oZlvwEAAHcDAAAOAAAAAAAAAAEAIAAAACIBAABkcnMvZTJvRG9jLnhtbFBL&#10;BQYAAAAABgAGAFkBAABT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p>
      <w:pPr>
        <w:spacing w:line="320" w:lineRule="exact"/>
        <w:rPr>
          <w:rStyle w:val="11"/>
          <w:rFonts w:hint="default" w:ascii="宋体" w:hAnsi="宋体" w:eastAsia="宋体"/>
          <w:kern w:val="0"/>
          <w:sz w:val="24"/>
          <w:lang w:val="en-US" w:eastAsia="zh-CN"/>
        </w:rPr>
      </w:pPr>
      <w:r>
        <w:rPr>
          <w:rStyle w:val="11"/>
          <w:rFonts w:ascii="宋体" w:hAnsi="宋体"/>
          <w:kern w:val="0"/>
          <w:sz w:val="24"/>
        </w:rPr>
        <w:t>第十</w:t>
      </w:r>
      <w:r>
        <w:rPr>
          <w:rStyle w:val="11"/>
          <w:rFonts w:hint="eastAsia" w:ascii="宋体" w:hAnsi="宋体"/>
          <w:kern w:val="0"/>
          <w:sz w:val="24"/>
          <w:lang w:val="en-US" w:eastAsia="zh-CN"/>
        </w:rPr>
        <w:t>三</w:t>
      </w:r>
      <w:r>
        <w:rPr>
          <w:rStyle w:val="11"/>
          <w:rFonts w:ascii="宋体" w:hAnsi="宋体"/>
          <w:kern w:val="0"/>
          <w:sz w:val="24"/>
        </w:rPr>
        <w:t>届第</w:t>
      </w:r>
      <w:r>
        <w:rPr>
          <w:rStyle w:val="11"/>
          <w:rFonts w:hint="eastAsia" w:ascii="宋体" w:hAnsi="宋体"/>
          <w:kern w:val="0"/>
          <w:sz w:val="24"/>
          <w:lang w:val="en-US" w:eastAsia="zh-CN"/>
        </w:rPr>
        <w:t>一</w:t>
      </w:r>
      <w:r>
        <w:rPr>
          <w:rStyle w:val="11"/>
          <w:rFonts w:ascii="宋体" w:hAnsi="宋体"/>
          <w:kern w:val="0"/>
          <w:sz w:val="24"/>
        </w:rPr>
        <w:t>次会议　       　第</w:t>
      </w:r>
      <w:r>
        <w:rPr>
          <w:rStyle w:val="11"/>
          <w:rFonts w:hint="eastAsia" w:ascii="宋体" w:hAnsi="宋体"/>
          <w:kern w:val="0"/>
          <w:sz w:val="24"/>
          <w:lang w:val="en-US" w:eastAsia="zh-CN"/>
        </w:rPr>
        <w:t>005</w:t>
      </w:r>
      <w:bookmarkStart w:id="0" w:name="_GoBack"/>
      <w:bookmarkEnd w:id="0"/>
      <w:r>
        <w:rPr>
          <w:rStyle w:val="11"/>
          <w:rFonts w:ascii="宋体" w:hAnsi="宋体"/>
          <w:kern w:val="0"/>
          <w:sz w:val="24"/>
        </w:rPr>
        <w:t xml:space="preserve">号　    </w:t>
      </w:r>
      <w:r>
        <w:rPr>
          <w:rStyle w:val="11"/>
          <w:rFonts w:hint="eastAsia" w:ascii="宋体" w:hAnsi="宋体"/>
          <w:kern w:val="0"/>
          <w:sz w:val="24"/>
        </w:rPr>
        <w:t xml:space="preserve">    </w:t>
      </w:r>
      <w:r>
        <w:rPr>
          <w:rStyle w:val="11"/>
          <w:rFonts w:hint="eastAsia" w:ascii="宋体" w:hAnsi="宋体"/>
          <w:kern w:val="0"/>
          <w:sz w:val="24"/>
          <w:lang w:val="en-US" w:eastAsia="zh-CN"/>
        </w:rPr>
        <w:t xml:space="preserve"> 类别：社会建设类     </w:t>
      </w:r>
    </w:p>
    <w:p>
      <w:pPr>
        <w:spacing w:line="320" w:lineRule="exact"/>
        <w:jc w:val="left"/>
        <w:rPr>
          <w:rStyle w:val="11"/>
          <w:rFonts w:ascii="宋体" w:hAnsi="宋体"/>
          <w:kern w:val="0"/>
          <w:sz w:val="24"/>
        </w:rPr>
      </w:pPr>
      <w:r>
        <w:rPr>
          <w:rStyle w:val="11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74945" cy="38100"/>
                <wp:effectExtent l="0" t="0" r="1905" b="0"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74945" cy="3810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3pt;width:415.35pt;" fillcolor="#ACA899" filled="t" stroked="f" coordsize="21600,21600" o:gfxdata="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DzMVtO0wAAAAMBAAAPAAAAAAAAAAEAIAAAACIAAABkcnMvZG93bnJldi54bWxQSwEC&#10;FAAUAAAACACHTuJApo3SZ8ABAAB3AwAADgAAAAAAAAABACAAAAAiAQAAZHJzL2Uyb0RvYy54bWxQ&#10;SwUGAAAAAAYABgBZAQAAVAUAAAAA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tbl>
      <w:tblPr>
        <w:tblStyle w:val="7"/>
        <w:tblW w:w="8550" w:type="dxa"/>
        <w:tblInd w:w="0" w:type="dxa"/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1753"/>
        <w:gridCol w:w="3872"/>
        <w:gridCol w:w="1440"/>
        <w:gridCol w:w="1485"/>
      </w:tblGrid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1"/>
                <w:rFonts w:ascii="宋体" w:hAnsi="宋体"/>
                <w:kern w:val="0"/>
                <w:sz w:val="24"/>
              </w:rPr>
            </w:pPr>
            <w:r>
              <w:rPr>
                <w:rStyle w:val="11"/>
                <w:rFonts w:ascii="黑体" w:hAnsi="宋体" w:eastAsia="黑体" w:cs="宋体"/>
                <w:b/>
                <w:bCs/>
                <w:kern w:val="0"/>
                <w:sz w:val="24"/>
              </w:rPr>
              <w:t>案</w:t>
            </w:r>
            <w:r>
              <w:rPr>
                <w:rStyle w:val="11"/>
                <w:rFonts w:ascii="宋体" w:hAnsi="宋体" w:eastAsia="黑体" w:cs="宋体"/>
                <w:b/>
                <w:bCs/>
                <w:kern w:val="0"/>
                <w:sz w:val="24"/>
              </w:rPr>
              <w:t>  </w:t>
            </w:r>
            <w:r>
              <w:rPr>
                <w:rStyle w:val="11"/>
                <w:rFonts w:ascii="黑体" w:hAnsi="宋体" w:eastAsia="黑体" w:cs="宋体"/>
                <w:b/>
                <w:bCs/>
                <w:kern w:val="0"/>
                <w:sz w:val="24"/>
              </w:rPr>
              <w:t>由</w:t>
            </w:r>
            <w:r>
              <w:rPr>
                <w:rStyle w:val="11"/>
                <w:rFonts w:ascii="宋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11"/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/>
              </w:rPr>
              <w:t>关于有序合理引导我州农村劳动力流动的建议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1"/>
                <w:rFonts w:ascii="宋体" w:hAnsi="宋体"/>
                <w:kern w:val="0"/>
                <w:sz w:val="24"/>
              </w:rPr>
            </w:pPr>
            <w:r>
              <w:rPr>
                <w:rStyle w:val="11"/>
                <w:rFonts w:ascii="黑体" w:hAnsi="宋体" w:eastAsia="黑体" w:cs="宋体"/>
                <w:b/>
                <w:bCs/>
                <w:kern w:val="0"/>
                <w:sz w:val="24"/>
              </w:rPr>
              <w:t>审查意见</w:t>
            </w:r>
            <w:r>
              <w:rPr>
                <w:rStyle w:val="11"/>
                <w:rFonts w:ascii="宋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11"/>
                <w:rFonts w:hint="default" w:ascii="宋体" w:hAnsi="宋体"/>
                <w:kern w:val="0"/>
                <w:sz w:val="24"/>
                <w:lang w:val="en-US" w:eastAsia="zh-CN"/>
              </w:rPr>
            </w:pPr>
            <w:r>
              <w:rPr>
                <w:rStyle w:val="11"/>
                <w:rFonts w:hint="eastAsia" w:ascii="宋体" w:hAnsi="宋体"/>
                <w:kern w:val="0"/>
                <w:sz w:val="24"/>
                <w:lang w:eastAsia="zh-CN"/>
              </w:rPr>
              <w:t>主办：</w:t>
            </w:r>
            <w:r>
              <w:rPr>
                <w:rStyle w:val="11"/>
                <w:rFonts w:hint="eastAsia" w:ascii="宋体" w:hAnsi="宋体"/>
                <w:kern w:val="0"/>
                <w:sz w:val="24"/>
                <w:lang w:val="en-US" w:eastAsia="zh-CN"/>
              </w:rPr>
              <w:t>州人社局    会办：州农业农村局、州乡村振兴局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1"/>
                <w:rFonts w:ascii="黑体" w:hAnsi="宋体" w:eastAsia="黑体"/>
                <w:kern w:val="0"/>
                <w:sz w:val="24"/>
              </w:rPr>
            </w:pPr>
            <w:r>
              <w:rPr>
                <w:rStyle w:val="11"/>
                <w:rFonts w:ascii="黑体" w:hAnsi="宋体" w:eastAsia="黑体" w:cs="宋体"/>
                <w:b/>
                <w:bCs/>
                <w:kern w:val="0"/>
                <w:sz w:val="24"/>
              </w:rPr>
              <w:t>提</w:t>
            </w:r>
            <w:r>
              <w:rPr>
                <w:rStyle w:val="11"/>
                <w:rFonts w:hint="eastAsia" w:ascii="黑体" w:hAnsi="宋体" w:eastAsia="黑体" w:cs="宋体"/>
                <w:b/>
                <w:bCs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Style w:val="11"/>
                <w:rFonts w:ascii="黑体" w:hAnsi="宋体" w:eastAsia="黑体" w:cs="宋体"/>
                <w:b/>
                <w:bCs/>
                <w:kern w:val="0"/>
                <w:sz w:val="24"/>
              </w:rPr>
              <w:t>案</w:t>
            </w:r>
            <w:r>
              <w:rPr>
                <w:rStyle w:val="11"/>
                <w:rFonts w:hint="eastAsia" w:ascii="黑体" w:hAnsi="宋体" w:eastAsia="黑体" w:cs="宋体"/>
                <w:b/>
                <w:bCs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Style w:val="11"/>
                <w:rFonts w:ascii="黑体" w:hAnsi="宋体" w:eastAsia="黑体" w:cs="宋体"/>
                <w:b/>
                <w:bCs/>
                <w:kern w:val="0"/>
                <w:sz w:val="24"/>
              </w:rPr>
              <w:t>人</w:t>
            </w:r>
            <w:r>
              <w:rPr>
                <w:rStyle w:val="11"/>
                <w:rFonts w:ascii="宋体" w:hAnsi="宋体" w:eastAsia="黑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3872" w:type="dxa"/>
            <w:vAlign w:val="center"/>
          </w:tcPr>
          <w:p>
            <w:pPr>
              <w:jc w:val="left"/>
              <w:rPr>
                <w:rStyle w:val="11"/>
                <w:rFonts w:ascii="宋体" w:hAnsi="宋体"/>
                <w:kern w:val="0"/>
                <w:sz w:val="24"/>
              </w:rPr>
            </w:pPr>
            <w:r>
              <w:rPr>
                <w:rStyle w:val="11"/>
                <w:rFonts w:ascii="宋体" w:hAnsi="宋体" w:cs="宋体"/>
                <w:b/>
                <w:bCs/>
                <w:kern w:val="0"/>
                <w:sz w:val="24"/>
              </w:rPr>
              <w:t>通讯地址</w:t>
            </w:r>
          </w:p>
        </w:tc>
        <w:tc>
          <w:tcPr>
            <w:tcW w:w="1440" w:type="dxa"/>
            <w:vAlign w:val="center"/>
          </w:tcPr>
          <w:p>
            <w:pPr>
              <w:jc w:val="left"/>
              <w:rPr>
                <w:rStyle w:val="11"/>
                <w:rFonts w:ascii="宋体" w:hAnsi="宋体"/>
                <w:kern w:val="0"/>
                <w:sz w:val="24"/>
              </w:rPr>
            </w:pPr>
            <w:r>
              <w:rPr>
                <w:rStyle w:val="11"/>
                <w:rFonts w:ascii="宋体" w:hAnsi="宋体" w:cs="宋体"/>
                <w:b/>
                <w:bCs/>
                <w:kern w:val="0"/>
                <w:sz w:val="24"/>
              </w:rPr>
              <w:t>邮政编码</w:t>
            </w:r>
          </w:p>
        </w:tc>
        <w:tc>
          <w:tcPr>
            <w:tcW w:w="1485" w:type="dxa"/>
            <w:vAlign w:val="center"/>
          </w:tcPr>
          <w:p>
            <w:pPr>
              <w:jc w:val="left"/>
              <w:rPr>
                <w:rStyle w:val="11"/>
                <w:rFonts w:ascii="宋体" w:hAnsi="宋体"/>
                <w:kern w:val="0"/>
                <w:sz w:val="24"/>
              </w:rPr>
            </w:pPr>
            <w:r>
              <w:rPr>
                <w:rStyle w:val="11"/>
                <w:rFonts w:ascii="宋体" w:hAnsi="宋体" w:cs="宋体"/>
                <w:b/>
                <w:bCs/>
                <w:kern w:val="0"/>
                <w:sz w:val="24"/>
              </w:rPr>
              <w:t>联系电话</w:t>
            </w:r>
          </w:p>
        </w:tc>
      </w:tr>
      <w:tr>
        <w:tc>
          <w:tcPr>
            <w:tcW w:w="1753" w:type="dxa"/>
            <w:vAlign w:val="center"/>
          </w:tcPr>
          <w:p>
            <w:pPr>
              <w:pStyle w:val="2"/>
              <w:ind w:left="0" w:leftChars="0" w:firstLine="0" w:firstLineChars="0"/>
            </w:pPr>
            <w:r>
              <w:rPr>
                <w:rFonts w:hint="eastAsia"/>
              </w:rPr>
              <w:t>民建黔东南州委</w:t>
            </w:r>
          </w:p>
        </w:tc>
        <w:tc>
          <w:tcPr>
            <w:tcW w:w="3872" w:type="dxa"/>
            <w:vAlign w:val="center"/>
          </w:tcPr>
          <w:p>
            <w:pPr>
              <w:jc w:val="left"/>
              <w:rPr>
                <w:rStyle w:val="11"/>
                <w:rFonts w:hint="eastAsia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Fonts w:hint="eastAsia"/>
              </w:rPr>
              <w:t>凯里市文化北路15号</w:t>
            </w:r>
          </w:p>
        </w:tc>
        <w:tc>
          <w:tcPr>
            <w:tcW w:w="1440" w:type="dxa"/>
            <w:vAlign w:val="center"/>
          </w:tcPr>
          <w:p>
            <w:pPr>
              <w:jc w:val="left"/>
              <w:rPr>
                <w:rStyle w:val="11"/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Style w:val="11"/>
                <w:rFonts w:hint="eastAsia" w:ascii="宋体" w:hAnsi="宋体"/>
                <w:kern w:val="0"/>
                <w:sz w:val="24"/>
                <w:lang w:val="en-US" w:eastAsia="zh-CN"/>
              </w:rPr>
              <w:t>556000</w:t>
            </w:r>
          </w:p>
        </w:tc>
        <w:tc>
          <w:tcPr>
            <w:tcW w:w="1485" w:type="dxa"/>
            <w:vAlign w:val="center"/>
          </w:tcPr>
          <w:p>
            <w:pPr>
              <w:jc w:val="left"/>
              <w:rPr>
                <w:rStyle w:val="11"/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Fonts w:hint="eastAsia"/>
              </w:rPr>
              <w:t>2107329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1"/>
                <w:rFonts w:hint="eastAsia" w:ascii="宋体" w:hAnsi="宋体" w:eastAsia="宋体"/>
                <w:kern w:val="0"/>
                <w:sz w:val="24"/>
                <w:lang w:eastAsia="zh-CN"/>
              </w:rPr>
            </w:pPr>
            <w:r>
              <w:rPr>
                <w:rStyle w:val="11"/>
                <w:rFonts w:hint="eastAsia" w:ascii="黑体" w:hAnsi="宋体" w:eastAsia="黑体" w:cs="宋体"/>
                <w:b/>
                <w:bCs/>
                <w:kern w:val="0"/>
                <w:sz w:val="24"/>
                <w:szCs w:val="22"/>
                <w:lang w:eastAsia="zh-CN"/>
              </w:rPr>
              <w:t>工作联系电话：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11"/>
                <w:rFonts w:hint="eastAsia" w:ascii="宋体" w:hAnsi="宋体"/>
                <w:kern w:val="0"/>
                <w:sz w:val="24"/>
                <w:lang w:val="en-US" w:eastAsia="zh-CN"/>
              </w:rPr>
            </w:pPr>
            <w:r>
              <w:rPr>
                <w:rStyle w:val="11"/>
                <w:rFonts w:hint="eastAsia" w:ascii="宋体" w:hAnsi="宋体"/>
                <w:kern w:val="0"/>
                <w:sz w:val="24"/>
                <w:lang w:eastAsia="zh-CN"/>
              </w:rPr>
              <w:t>州委办秘书五科：</w:t>
            </w:r>
            <w:r>
              <w:rPr>
                <w:rStyle w:val="11"/>
                <w:rFonts w:hint="eastAsia" w:ascii="宋体" w:hAnsi="宋体"/>
                <w:kern w:val="0"/>
                <w:sz w:val="24"/>
                <w:lang w:val="en-US" w:eastAsia="zh-CN"/>
              </w:rPr>
              <w:t>8270060；</w:t>
            </w:r>
            <w:r>
              <w:rPr>
                <w:rStyle w:val="11"/>
                <w:rFonts w:hint="eastAsia" w:ascii="宋体" w:hAnsi="宋体"/>
                <w:kern w:val="0"/>
                <w:sz w:val="24"/>
                <w:lang w:eastAsia="zh-CN"/>
              </w:rPr>
              <w:t>州政府办建议提案科：</w:t>
            </w:r>
            <w:r>
              <w:rPr>
                <w:rStyle w:val="11"/>
                <w:rFonts w:hint="eastAsia" w:ascii="宋体" w:hAnsi="宋体"/>
                <w:kern w:val="0"/>
                <w:sz w:val="24"/>
                <w:lang w:val="en-US" w:eastAsia="zh-CN"/>
              </w:rPr>
              <w:t>8260016；</w:t>
            </w:r>
          </w:p>
          <w:p>
            <w:pPr>
              <w:jc w:val="left"/>
              <w:rPr>
                <w:rStyle w:val="11"/>
                <w:rFonts w:hint="default" w:ascii="宋体" w:hAnsi="宋体"/>
                <w:kern w:val="0"/>
                <w:sz w:val="24"/>
                <w:lang w:val="en-US"/>
              </w:rPr>
            </w:pPr>
            <w:r>
              <w:rPr>
                <w:rStyle w:val="11"/>
                <w:rFonts w:hint="eastAsia" w:ascii="宋体" w:hAnsi="宋体"/>
                <w:kern w:val="0"/>
                <w:sz w:val="24"/>
                <w:lang w:eastAsia="zh-CN"/>
              </w:rPr>
              <w:t>州政协提案委：</w:t>
            </w:r>
            <w:r>
              <w:rPr>
                <w:rStyle w:val="11"/>
                <w:rFonts w:hint="eastAsia" w:ascii="宋体" w:hAnsi="宋体"/>
                <w:kern w:val="0"/>
                <w:sz w:val="24"/>
                <w:lang w:val="en-US" w:eastAsia="zh-CN"/>
              </w:rPr>
              <w:t>8428866</w:t>
            </w:r>
            <w:r>
              <w:rPr>
                <w:rStyle w:val="11"/>
                <w:rFonts w:hint="eastAsia" w:ascii="宋体" w:hAnsi="宋体"/>
                <w:kern w:val="0"/>
                <w:sz w:val="24"/>
                <w:lang w:eastAsia="zh-CN"/>
              </w:rPr>
              <w:t>。</w:t>
            </w:r>
          </w:p>
        </w:tc>
      </w:tr>
    </w:tbl>
    <w:p>
      <w:pPr>
        <w:jc w:val="left"/>
        <w:rPr>
          <w:rStyle w:val="11"/>
          <w:rFonts w:ascii="宋体" w:hAnsi="宋体"/>
          <w:kern w:val="0"/>
          <w:sz w:val="24"/>
        </w:rPr>
      </w:pPr>
      <w:r>
        <w:rPr>
          <w:rStyle w:val="11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12080" cy="35560"/>
                <wp:effectExtent l="0" t="0" r="7620" b="2540"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12080" cy="3556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2.8pt;width:410.4pt;" fillcolor="#ACA899" filled="t" stroked="f" coordsize="21600,21600" o:gfxdata="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K3ccfDTAAAAAwEAAA8AAAAAAAAAAQAgAAAAIgAAAGRycy9kb3ducmV2LnhtbFBLAQIU&#10;ABQAAAAIAIdO4kBCLY2xvwEAAHcDAAAOAAAAAAAAAAEAIAAAACIBAABkcnMvZTJvRG9jLnhtbFBL&#10;BQYAAAAABgAGAFkBAABT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p>
      <w:pPr>
        <w:spacing w:line="560" w:lineRule="exact"/>
        <w:rPr>
          <w:rStyle w:val="11"/>
          <w:rFonts w:hint="eastAsia" w:ascii="仿宋_GB2312" w:hAnsi="宋体" w:eastAsia="仿宋_GB2312"/>
          <w:kern w:val="0"/>
          <w:sz w:val="32"/>
          <w:szCs w:val="32"/>
        </w:rPr>
      </w:pPr>
      <w:r>
        <w:rPr>
          <w:rStyle w:val="11"/>
          <w:rFonts w:hint="eastAsia" w:ascii="仿宋_GB2312" w:hAnsi="宋体" w:eastAsia="仿宋_GB2312"/>
          <w:kern w:val="0"/>
          <w:sz w:val="32"/>
          <w:szCs w:val="32"/>
        </w:rPr>
        <w:t>内容和办法</w:t>
      </w:r>
      <w:r>
        <w:rPr>
          <w:rStyle w:val="11"/>
          <w:rFonts w:hint="eastAsia" w:ascii="仿宋_GB2312" w:hAnsi="宋体" w:eastAsia="仿宋_GB2312"/>
          <w:kern w:val="0"/>
          <w:sz w:val="32"/>
          <w:szCs w:val="32"/>
          <w:lang w:eastAsia="zh-CN"/>
        </w:rPr>
        <w:t>：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国务院总理李克强指出，就业是民生之本，是发展之基，也是财富创造的源头活水。准确把握新形势，积极应对新挑战，统筹推进农村劳动力外出就业和就近就地创业就业，有序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合理引导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农村劳动力流动，是关乎社会稳定、乡村振兴和城乡融合的全局性问题。2020年末，黔东南州户籍人口484.73万人，常住人口355.20万人，其中农村劳动力199.66万人，在外就业121.02万人（其中跨省就业79.8万人）。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30" w:leftChars="0"/>
        <w:jc w:val="left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一、制约农业产业发展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大量农村劳动力外出就业使农村人才流失，农村产业发展失去了主力军，耕地利用率下降，土地闲置撂荒现象严重，农业生产积极性不高，农业产业结构调整整体推进困难，无法为农业现代化提供有效的劳动力支持，不利于现代化农业生产技术推广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30" w:leftChars="0"/>
        <w:jc w:val="left"/>
        <w:textAlignment w:val="auto"/>
        <w:rPr>
          <w:rFonts w:hint="default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二、</w:t>
      </w:r>
      <w:r>
        <w:rPr>
          <w:rFonts w:hint="default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农村”三留守”问题凸显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留守儿童、留守妇女、留守老人“三留守”问题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日益凸显，导致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公益事业建设难；人才流失选拔干部难；婚姻问题越来越突出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家庭结构容易动摇；留守儿童教育管理严重缺位；缺乏对留守老人的照护等。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30" w:leftChars="0"/>
        <w:jc w:val="left"/>
        <w:textAlignment w:val="auto"/>
        <w:rPr>
          <w:rFonts w:hint="default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三、</w:t>
      </w:r>
      <w:r>
        <w:rPr>
          <w:rFonts w:hint="default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劳动力综合素质偏低，竞争能力弱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教育发展相对滞后，农村劳动力整体受教育程度偏低，缺乏相应的职业技能培训，大部分从事如制造业、建筑业等劳动技能低、安全系数低、劳动强度大的行业。发达地区和东部沿海城市对劳动力整体素质要求越来越高，农村劳动力“就业难”和用工单位“招工难”的结构性矛盾依然存在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30" w:leftChars="0"/>
        <w:jc w:val="left"/>
        <w:textAlignment w:val="auto"/>
        <w:rPr>
          <w:rFonts w:hint="default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四、</w:t>
      </w:r>
      <w:r>
        <w:rPr>
          <w:rFonts w:hint="default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就业方式存在盲目性和无序性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由于亲情观念、家族观念和家乡观念强，亲友、老乡之间信任度高，大部分农村劳动力依靠“亲带亲，友带友，邻带邻”关系自谋输出，通过政府或职业中介机构组织劳务输出外出就业的相对较少，组织松散，随意性大，风险高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30" w:leftChars="0"/>
        <w:jc w:val="left"/>
        <w:textAlignment w:val="auto"/>
        <w:rPr>
          <w:rFonts w:hint="default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五、</w:t>
      </w:r>
      <w:r>
        <w:rPr>
          <w:rFonts w:hint="default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社会权益难以保障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农村劳动力在卫生、失业、养老、医保等方面得不到保障的问题依然严峻，克扣和拖欠工资、劳动时间长等现象时有发生，签订劳动合同的比例较低，劳动权益得不到维护。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建议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30" w:leftChars="0"/>
        <w:jc w:val="left"/>
        <w:textAlignment w:val="auto"/>
        <w:rPr>
          <w:rFonts w:hint="default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一、</w:t>
      </w:r>
      <w:r>
        <w:rPr>
          <w:rFonts w:hint="default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发展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农业</w:t>
      </w:r>
      <w:r>
        <w:rPr>
          <w:rFonts w:hint="default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产业带动就地就业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加快推进农业现代化，发展现代农业和规模农业，要加强农村基础设施建设，结合山地特点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围绕生态优势，发展山地特色农业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林下经济，加快培育支撑经济发展的支柱产业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同时吸引和培育更多适应现代化农业生产要求的新型农民，发展壮大吸纳农民就业的新市场主体，为推动农业专业化、标准化、规模化、集约化生产创造有利条件。针对农村和农民给予众多惠民政策优惠，鼓励支持各类市场主体创新发展基于互联网的新型农业产业模式，从而吸引外出农村劳动力的回流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30" w:leftChars="0"/>
        <w:jc w:val="left"/>
        <w:textAlignment w:val="auto"/>
        <w:rPr>
          <w:rFonts w:hint="default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二、</w:t>
      </w:r>
      <w:r>
        <w:rPr>
          <w:rFonts w:hint="default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结合新型城镇化带动就近就业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lang w:val="en-US" w:eastAsia="zh-CN"/>
        </w:rPr>
        <w:t>一是稳住城镇就业大盘。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补齐基础设施、公共服务等短板，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发展新型服务业，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强化工业支撑作用，推进二三产业协同发力，不断增强城镇聚集产业、吸纳就业能力，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推动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新型城镇化和农业现代化相互协调，实现产镇融合、镇村融合，带动劳动者就近就业。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同时，扩大公益性岗位安置，帮助残疾人、零就业家庭成员就业；增加非全日制就业机会，鼓励个体经营发展，支持新就业形态，拓宽灵活就业渠道。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lang w:val="en-US" w:eastAsia="zh-CN"/>
        </w:rPr>
        <w:t>二是大力支持返乡创业。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在创业项目、财政扶持、土地流转、人才引入、税费减免、担保贷款等方面为返乡创业提供具体支持，在户籍管理、子女入学、创业保障等方面营造宽松环境，吸引有技术、有能力、有抱负的返乡农村劳动力回乡兴办企业、发展产业、带动就业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使一些不想从事农业生产的劳动力实现“进厂不进城，离土不离乡”。发展壮大县域经济，推动乡村振兴，不断拓宽农村劳动力就业创业空间。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30" w:leftChars="0"/>
        <w:jc w:val="left"/>
        <w:textAlignment w:val="auto"/>
        <w:rPr>
          <w:rFonts w:hint="default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三、</w:t>
      </w:r>
      <w:r>
        <w:rPr>
          <w:rFonts w:hint="default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健全技能培训长效机制，增强就业竞争力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1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kern w:val="0"/>
          <w:sz w:val="32"/>
          <w:szCs w:val="32"/>
          <w:lang w:eastAsia="zh-CN"/>
        </w:rPr>
        <w:t>一是</w:t>
      </w:r>
      <w:r>
        <w:rPr>
          <w:rFonts w:hint="default" w:ascii="Times New Roman" w:hAnsi="Times New Roman" w:eastAsia="仿宋_GB2312" w:cs="Times New Roman"/>
          <w:b/>
          <w:bCs/>
          <w:color w:val="auto"/>
          <w:kern w:val="0"/>
          <w:sz w:val="32"/>
          <w:szCs w:val="32"/>
        </w:rPr>
        <w:t>根据市场需求实施分类培训</w:t>
      </w:r>
      <w:r>
        <w:rPr>
          <w:rFonts w:hint="default" w:ascii="Times New Roman" w:hAnsi="Times New Roman" w:eastAsia="仿宋_GB2312" w:cs="Times New Roman"/>
          <w:b/>
          <w:bCs/>
          <w:color w:val="auto"/>
          <w:kern w:val="0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根据企业需求对不同行业、不同工种、不同岗位进行对口职业技能培训，实现就业技能培训和就业上岗无缝对接。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color="auto" w:fill="FFFFFF"/>
          <w:lang w:eastAsia="zh-CN"/>
        </w:rPr>
        <w:t>依托人力资源培训中心、职业中学，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color="auto" w:fill="FFFFFF"/>
          <w:lang w:eastAsia="zh-CN"/>
        </w:rPr>
        <w:t>进行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color="auto" w:fill="FFFFFF"/>
          <w:lang w:eastAsia="zh-CN"/>
        </w:rPr>
        <w:t>就业培训，岗前培训等，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强化专业技能、紧缺工种、新技能培训，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color="auto" w:fill="FFFFFF"/>
        </w:rPr>
        <w:t>逐步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color="auto" w:fill="FFFFFF"/>
          <w:lang w:eastAsia="zh-CN"/>
        </w:rPr>
        <w:t>形成有组织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color="auto" w:fill="FFFFFF"/>
        </w:rPr>
        <w:t>劳务输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color="auto" w:fill="FFFFFF"/>
          <w:lang w:eastAsia="zh-CN"/>
        </w:rPr>
        <w:t>出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color="auto" w:fill="FFFFFF"/>
        </w:rPr>
        <w:t>由“苦力型”向“技能型”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color="auto" w:fill="FFFFFF"/>
          <w:lang w:eastAsia="zh-CN"/>
        </w:rPr>
        <w:t>转变的良好格局。同时，结合农村留守劳动力的实际，因地制宜，有针对性地举办农业科技、种养殖技术培训班，培育有技术、会经营、懂管理的新型农民，弥补当前农村技术、劳力的不足。</w:t>
      </w:r>
      <w:r>
        <w:rPr>
          <w:rFonts w:hint="default" w:ascii="Times New Roman" w:hAnsi="Times New Roman" w:eastAsia="仿宋_GB2312" w:cs="Times New Roman"/>
          <w:b/>
          <w:bCs/>
          <w:i w:val="0"/>
          <w:iCs w:val="0"/>
          <w:caps w:val="0"/>
          <w:color w:val="auto"/>
          <w:spacing w:val="0"/>
          <w:sz w:val="32"/>
          <w:szCs w:val="32"/>
          <w:u w:val="none"/>
          <w:shd w:val="clear" w:color="auto" w:fill="FFFFFF"/>
          <w:lang w:eastAsia="zh-CN"/>
        </w:rPr>
        <w:t>二是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加强职业道德、法律知识、维权意识和劳动纪律及安全生产等方面的教育，以培训促进就业、就业引导培训、维权稳定就业，提高农村劳动力维权意识，保障其自身的合法权益不受侵害。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30" w:leftChars="0"/>
        <w:jc w:val="left"/>
        <w:textAlignment w:val="auto"/>
        <w:rPr>
          <w:rFonts w:hint="default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四、</w:t>
      </w:r>
      <w:r>
        <w:rPr>
          <w:rFonts w:hint="default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健全就业创业服务体系，加强精准服务</w:t>
      </w:r>
    </w:p>
    <w:p>
      <w:pPr>
        <w:ind w:firstLine="643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lang w:val="en-US" w:eastAsia="zh-CN"/>
        </w:rPr>
        <w:t>一是健全基层公共就业服务机构。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基层公共就业服务平台作为沟通政府部门与基层群众的桥梁，为用人单位和求职者提供求职登记、职业指导、政策咨询、职业介绍、技能培训、就业登记、失业登记等一站式服务，完善就业需求调查和失业监测预警机制，全方位地做好公共就业服务工作。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lang w:val="en-US" w:eastAsia="zh-CN"/>
        </w:rPr>
        <w:t>二是构建畅通的就业信息平台。</w:t>
      </w:r>
      <w:r>
        <w:rPr>
          <w:rFonts w:hint="eastAsia" w:ascii="Times New Roman" w:hAnsi="Times New Roman" w:eastAsia="仿宋_GB2312" w:cs="Times New Roman"/>
          <w:b/>
          <w:bCs/>
          <w:color w:val="auto"/>
          <w:sz w:val="32"/>
          <w:szCs w:val="32"/>
          <w:lang w:val="en-US" w:eastAsia="zh-CN"/>
        </w:rPr>
        <w:t>一方面，</w:t>
      </w:r>
      <w:r>
        <w:rPr>
          <w:rFonts w:hint="eastAsia" w:eastAsia="仿宋_GB2312"/>
          <w:color w:val="auto"/>
          <w:sz w:val="32"/>
          <w:szCs w:val="32"/>
        </w:rPr>
        <w:t>利</w:t>
      </w:r>
      <w:r>
        <w:rPr>
          <w:rFonts w:eastAsia="仿宋_GB2312"/>
          <w:color w:val="auto"/>
          <w:sz w:val="32"/>
          <w:szCs w:val="32"/>
        </w:rPr>
        <w:t>用好</w:t>
      </w:r>
      <w:r>
        <w:rPr>
          <w:rFonts w:hint="eastAsia" w:eastAsia="仿宋_GB2312"/>
          <w:color w:val="auto"/>
          <w:sz w:val="32"/>
          <w:szCs w:val="32"/>
          <w:lang w:eastAsia="zh-CN"/>
        </w:rPr>
        <w:t>佛山</w:t>
      </w:r>
      <w:r>
        <w:rPr>
          <w:rFonts w:eastAsia="仿宋_GB2312"/>
          <w:color w:val="auto"/>
          <w:sz w:val="32"/>
          <w:szCs w:val="32"/>
        </w:rPr>
        <w:t>对口帮扶</w:t>
      </w:r>
      <w:r>
        <w:rPr>
          <w:rFonts w:hint="eastAsia" w:eastAsia="仿宋_GB2312"/>
          <w:color w:val="auto"/>
          <w:sz w:val="32"/>
          <w:szCs w:val="32"/>
          <w:lang w:eastAsia="zh-CN"/>
        </w:rPr>
        <w:t>黔东南州</w:t>
      </w:r>
      <w:r>
        <w:rPr>
          <w:rFonts w:eastAsia="仿宋_GB2312"/>
          <w:color w:val="auto"/>
          <w:sz w:val="32"/>
          <w:szCs w:val="32"/>
        </w:rPr>
        <w:t>的机遇，</w:t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u w:val="none"/>
          <w:lang w:val="en-US" w:eastAsia="zh-CN" w:bidi="ar-SA"/>
        </w:rPr>
        <w:t>加强与</w:t>
      </w: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u w:val="none"/>
          <w:lang w:val="en-US" w:eastAsia="zh-CN" w:bidi="ar-SA"/>
        </w:rPr>
        <w:t>佛山市、“长三角”“珠三角”城市的劳务对接</w:t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u w:val="none"/>
          <w:lang w:val="en-US" w:eastAsia="zh-CN" w:bidi="ar-SA"/>
        </w:rPr>
        <w:t>，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广泛收集用工岗位信息，通过线上线下相结合的方式，不断开展各类型招聘会，并通过就业APP、微信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公众号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等新媒体平台推送各类就业信息，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疏通转移渠道，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引导广大农村劳动力“走出去”务工就业。</w:t>
      </w:r>
      <w:r>
        <w:rPr>
          <w:rFonts w:hint="eastAsia" w:ascii="Times New Roman" w:hAnsi="Times New Roman" w:eastAsia="仿宋_GB2312" w:cs="Times New Roman"/>
          <w:b/>
          <w:bCs/>
          <w:color w:val="auto"/>
          <w:sz w:val="32"/>
          <w:szCs w:val="32"/>
          <w:lang w:val="en-US" w:eastAsia="zh-CN"/>
        </w:rPr>
        <w:t>另一方面，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加大社会中介组织的培育力度，开展有组织劳务输出，协调对接返岗较为集中的输入地政府、企业，为农村劳动力就业提供信息，搞好服务。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lang w:val="en-US" w:eastAsia="zh-CN"/>
        </w:rPr>
        <w:t>三是全面落实就业创业扶持政策。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完善引导就业、激励就业、扶持就业、对接就业的政策，及时兑现创业补贴、培训补贴、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就业援助补贴、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社会保险补贴等就业创业扶持政策，全面落实就业创业政策，逐步完善就业创业政策体系。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同时，突出抓好高校毕业生、就业困难人员、易地搬迁劳动力、退役军人等重点群体就业创业。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lang w:val="en-US" w:eastAsia="zh-CN"/>
        </w:rPr>
        <w:t>四是强化农村劳动力权益保障。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要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完善农民工输出地和输入地之间的维权工作协调机制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输出地和输入地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高度配合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，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共同参与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，合力维权。</w:t>
      </w:r>
      <w:r>
        <w:rPr>
          <w:rFonts w:hint="eastAsia" w:ascii="Times New Roman" w:hAnsi="Times New Roman" w:eastAsia="仿宋_GB2312" w:cs="Times New Roman"/>
          <w:b/>
          <w:bCs/>
          <w:color w:val="auto"/>
          <w:sz w:val="32"/>
          <w:szCs w:val="32"/>
          <w:lang w:val="en-US" w:eastAsia="zh-CN"/>
        </w:rPr>
        <w:t>一方面，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输入地要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切实维护外出务工农村劳动力的社会权益，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加强劳动监管，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加大查处力度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健全劳务纠纷协调仲裁机构，依法严厉打击针对农村劳动力的各种违法犯罪行为，帮助农村劳动力解决好拖欠工资、劳动环境差和工伤事故频发等突出问题，为农村劳动力转移创造一个良好的社会环境。</w:t>
      </w:r>
      <w:r>
        <w:rPr>
          <w:rFonts w:hint="eastAsia" w:ascii="Times New Roman" w:hAnsi="Times New Roman" w:eastAsia="仿宋_GB2312" w:cs="Times New Roman"/>
          <w:b/>
          <w:bCs/>
          <w:color w:val="auto"/>
          <w:sz w:val="32"/>
          <w:szCs w:val="32"/>
          <w:lang w:val="en-US" w:eastAsia="zh-CN"/>
        </w:rPr>
        <w:t>另一方面，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建议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输出地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工会、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人社局、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妇联和司法部门根据服务对象的需要，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通过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在沿海发达城市的农村劳动力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聚集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地、本地外出人员集中地设立服务站、开通免费服务热线等方式，维护外出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农村劳动力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在工资待遇、劳动保护、生活条件、社会保险以及工伤、死亡事故处理等应有权益，为外出务工人员提供政策咨询、维权服务等服务。</w:t>
      </w:r>
    </w:p>
    <w:p>
      <w:pPr>
        <w:spacing w:line="560" w:lineRule="exact"/>
        <w:ind w:firstLine="643" w:firstLineChars="200"/>
        <w:rPr>
          <w:rStyle w:val="11"/>
          <w:rFonts w:hint="eastAsia" w:ascii="黑体" w:hAnsi="黑体" w:eastAsia="黑体" w:cs="黑体"/>
          <w:b/>
          <w:bCs/>
          <w:kern w:val="0"/>
          <w:sz w:val="32"/>
          <w:szCs w:val="32"/>
          <w:lang w:val="en-US" w:eastAsia="zh-CN"/>
        </w:rPr>
      </w:pPr>
    </w:p>
    <w:p>
      <w:pPr>
        <w:spacing w:line="560" w:lineRule="exact"/>
        <w:ind w:firstLine="643" w:firstLineChars="200"/>
        <w:rPr>
          <w:rStyle w:val="11"/>
          <w:rFonts w:hint="eastAsia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Style w:val="11"/>
          <w:rFonts w:hint="eastAsia" w:ascii="黑体" w:hAnsi="黑体" w:eastAsia="黑体" w:cs="黑体"/>
          <w:b/>
          <w:bCs/>
          <w:kern w:val="0"/>
          <w:sz w:val="32"/>
          <w:szCs w:val="32"/>
          <w:lang w:val="en-US" w:eastAsia="zh-CN"/>
        </w:rPr>
        <w:t>注：</w:t>
      </w:r>
      <w:r>
        <w:rPr>
          <w:rStyle w:val="11"/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1、提案会办单位需将会办意见送主办单位，由主办单位连同《提案答复件》、《征询意见表》一并抄送州政协；（涉及目标考核）</w:t>
      </w:r>
    </w:p>
    <w:p>
      <w:pPr>
        <w:spacing w:line="560" w:lineRule="exact"/>
        <w:ind w:firstLine="1280" w:firstLineChars="400"/>
        <w:rPr>
          <w:rStyle w:val="11"/>
          <w:rFonts w:hint="default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Style w:val="11"/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2、州政协联系方式：州政协办402室、传真8428882，协同账号：州政协办公室收发员（备注：XXX号提案答复件）。</w:t>
      </w:r>
    </w:p>
    <w:sectPr>
      <w:headerReference r:id="rId3" w:type="default"/>
      <w:footerReference r:id="rId4" w:type="default"/>
      <w:pgSz w:w="11906" w:h="16838"/>
      <w:pgMar w:top="2098" w:right="1474" w:bottom="1985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198941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4</w:t>
        </w:r>
        <w:r>
          <w:rPr>
            <w:lang w:val="zh-CN"/>
          </w:rPr>
          <w:fldChar w:fldCharType="end"/>
        </w:r>
      </w:p>
    </w:sdtContent>
  </w:sdt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rPr>
        <w:rStyle w:val="11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2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noPunctuationKerning w:val="1"/>
  <w:characterSpacingControl w:val="doNotCompress"/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6911"/>
    <w:rsid w:val="00062089"/>
    <w:rsid w:val="002F6404"/>
    <w:rsid w:val="00372D70"/>
    <w:rsid w:val="004D0222"/>
    <w:rsid w:val="004E6BC5"/>
    <w:rsid w:val="00507FB8"/>
    <w:rsid w:val="00551F39"/>
    <w:rsid w:val="00554776"/>
    <w:rsid w:val="00654375"/>
    <w:rsid w:val="007055DB"/>
    <w:rsid w:val="007D1DFD"/>
    <w:rsid w:val="00840276"/>
    <w:rsid w:val="008A6967"/>
    <w:rsid w:val="008E32D7"/>
    <w:rsid w:val="008E5289"/>
    <w:rsid w:val="00A351EC"/>
    <w:rsid w:val="00A75BD7"/>
    <w:rsid w:val="00A94399"/>
    <w:rsid w:val="00A97C93"/>
    <w:rsid w:val="00C76ECC"/>
    <w:rsid w:val="00D123BF"/>
    <w:rsid w:val="00DD129A"/>
    <w:rsid w:val="00EA1493"/>
    <w:rsid w:val="00FB6911"/>
    <w:rsid w:val="00FF3F01"/>
    <w:rsid w:val="06503351"/>
    <w:rsid w:val="07D26AFC"/>
    <w:rsid w:val="08B66956"/>
    <w:rsid w:val="10B40BCC"/>
    <w:rsid w:val="118823F2"/>
    <w:rsid w:val="18EC1E64"/>
    <w:rsid w:val="1AF076FF"/>
    <w:rsid w:val="1BAB45FA"/>
    <w:rsid w:val="20E366FE"/>
    <w:rsid w:val="21EA0B57"/>
    <w:rsid w:val="29327B58"/>
    <w:rsid w:val="29EB237C"/>
    <w:rsid w:val="2FD84B80"/>
    <w:rsid w:val="30B878C9"/>
    <w:rsid w:val="32794BB9"/>
    <w:rsid w:val="33552650"/>
    <w:rsid w:val="336B6A5B"/>
    <w:rsid w:val="377737A4"/>
    <w:rsid w:val="38D60616"/>
    <w:rsid w:val="39FA5D72"/>
    <w:rsid w:val="3A7B4D73"/>
    <w:rsid w:val="3F1A5C90"/>
    <w:rsid w:val="42F10C9F"/>
    <w:rsid w:val="44195CBE"/>
    <w:rsid w:val="493508EE"/>
    <w:rsid w:val="497C7186"/>
    <w:rsid w:val="4A196944"/>
    <w:rsid w:val="4D7F6A93"/>
    <w:rsid w:val="4F1E6C2C"/>
    <w:rsid w:val="4F6B5D70"/>
    <w:rsid w:val="507F065A"/>
    <w:rsid w:val="5236789E"/>
    <w:rsid w:val="559F1A55"/>
    <w:rsid w:val="5A7C34BF"/>
    <w:rsid w:val="5AA17385"/>
    <w:rsid w:val="5B7C24C8"/>
    <w:rsid w:val="5F7A18E0"/>
    <w:rsid w:val="61895CCF"/>
    <w:rsid w:val="66F35DD9"/>
    <w:rsid w:val="6854075C"/>
    <w:rsid w:val="69A37ABB"/>
    <w:rsid w:val="6E30569D"/>
    <w:rsid w:val="7C1F064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  <w:textAlignment w:val="baseline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0"/>
    <w:pPr>
      <w:ind w:left="420" w:leftChars="200"/>
    </w:pPr>
    <w:rPr>
      <w:szCs w:val="20"/>
    </w:rPr>
  </w:style>
  <w:style w:type="paragraph" w:styleId="3">
    <w:name w:val="footer"/>
    <w:basedOn w:val="1"/>
    <w:link w:val="22"/>
    <w:qFormat/>
    <w:uiPriority w:val="99"/>
    <w:pPr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000000" w:sz="6" w:space="0"/>
      </w:pBdr>
      <w:snapToGrid w:val="0"/>
      <w:jc w:val="center"/>
    </w:pPr>
    <w:rPr>
      <w:sz w:val="18"/>
      <w:szCs w:val="18"/>
    </w:rPr>
  </w:style>
  <w:style w:type="paragraph" w:styleId="5">
    <w:name w:val="Body Text 2"/>
    <w:basedOn w:val="1"/>
    <w:qFormat/>
    <w:uiPriority w:val="0"/>
    <w:pPr>
      <w:widowControl w:val="0"/>
      <w:spacing w:after="120" w:line="480" w:lineRule="auto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9">
    <w:name w:val="Strong"/>
    <w:qFormat/>
    <w:uiPriority w:val="0"/>
    <w:rPr>
      <w:rFonts w:cs="Times New Roman"/>
      <w:b/>
      <w:bCs/>
    </w:rPr>
  </w:style>
  <w:style w:type="character" w:styleId="10">
    <w:name w:val="Hyperlink"/>
    <w:basedOn w:val="11"/>
    <w:semiHidden/>
    <w:qFormat/>
    <w:uiPriority w:val="0"/>
    <w:rPr>
      <w:color w:val="0000FF"/>
      <w:u w:val="single"/>
    </w:rPr>
  </w:style>
  <w:style w:type="character" w:customStyle="1" w:styleId="11">
    <w:name w:val="NormalCharacter"/>
    <w:semiHidden/>
    <w:qFormat/>
    <w:uiPriority w:val="0"/>
  </w:style>
  <w:style w:type="paragraph" w:customStyle="1" w:styleId="12">
    <w:name w:val="正文-公1"/>
    <w:basedOn w:val="1"/>
    <w:qFormat/>
    <w:uiPriority w:val="99"/>
    <w:pPr>
      <w:ind w:firstLine="200" w:firstLineChars="200"/>
    </w:pPr>
    <w:rPr>
      <w:rFonts w:ascii="Calibri" w:hAnsi="Calibri"/>
    </w:rPr>
  </w:style>
  <w:style w:type="paragraph" w:customStyle="1" w:styleId="13">
    <w:name w:val="Heading1"/>
    <w:basedOn w:val="1"/>
    <w:link w:val="19"/>
    <w:qFormat/>
    <w:uiPriority w:val="0"/>
    <w:pPr>
      <w:spacing w:before="100" w:beforeAutospacing="1" w:after="100" w:afterAutospacing="1"/>
      <w:jc w:val="left"/>
    </w:pPr>
    <w:rPr>
      <w:rFonts w:ascii="宋体" w:hAnsi="宋体" w:cs="宋体"/>
      <w:b/>
      <w:bCs/>
      <w:kern w:val="36"/>
      <w:sz w:val="48"/>
      <w:szCs w:val="48"/>
    </w:rPr>
  </w:style>
  <w:style w:type="table" w:customStyle="1" w:styleId="14">
    <w:name w:val="TableNormal"/>
    <w:semiHidden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5">
    <w:name w:val="Acetate"/>
    <w:basedOn w:val="1"/>
    <w:qFormat/>
    <w:uiPriority w:val="0"/>
    <w:rPr>
      <w:sz w:val="18"/>
      <w:szCs w:val="18"/>
    </w:rPr>
  </w:style>
  <w:style w:type="paragraph" w:customStyle="1" w:styleId="16">
    <w:name w:val="UserStyle_0"/>
    <w:basedOn w:val="1"/>
    <w:qFormat/>
    <w:uiPriority w:val="0"/>
    <w:pPr>
      <w:spacing w:before="100" w:beforeAutospacing="1" w:after="100" w:afterAutospacing="1"/>
      <w:jc w:val="left"/>
    </w:pPr>
    <w:rPr>
      <w:rFonts w:ascii="黑体" w:hAnsi="宋体" w:eastAsia="黑体" w:cs="宋体"/>
      <w:b/>
      <w:bCs/>
      <w:kern w:val="0"/>
      <w:sz w:val="36"/>
      <w:szCs w:val="36"/>
    </w:rPr>
  </w:style>
  <w:style w:type="paragraph" w:customStyle="1" w:styleId="17">
    <w:name w:val="UserStyle_1"/>
    <w:basedOn w:val="1"/>
    <w:qFormat/>
    <w:uiPriority w:val="0"/>
    <w:pPr>
      <w:spacing w:before="100" w:beforeAutospacing="1" w:after="100" w:afterAutospacing="1"/>
      <w:jc w:val="left"/>
    </w:pPr>
    <w:rPr>
      <w:rFonts w:ascii="黑体" w:hAnsi="宋体" w:eastAsia="黑体" w:cs="宋体"/>
      <w:b/>
      <w:bCs/>
      <w:kern w:val="0"/>
      <w:sz w:val="54"/>
      <w:szCs w:val="54"/>
    </w:rPr>
  </w:style>
  <w:style w:type="paragraph" w:customStyle="1" w:styleId="18">
    <w:name w:val="UserStyle_2"/>
    <w:basedOn w:val="1"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19">
    <w:name w:val="UserStyle_3"/>
    <w:basedOn w:val="11"/>
    <w:link w:val="13"/>
    <w:qFormat/>
    <w:uiPriority w:val="0"/>
    <w:rPr>
      <w:rFonts w:ascii="宋体" w:hAnsi="宋体" w:cs="宋体"/>
      <w:b/>
      <w:bCs/>
      <w:kern w:val="36"/>
      <w:sz w:val="48"/>
      <w:szCs w:val="48"/>
    </w:rPr>
  </w:style>
  <w:style w:type="character" w:customStyle="1" w:styleId="20">
    <w:name w:val="UserStyle_4"/>
    <w:basedOn w:val="11"/>
    <w:qFormat/>
    <w:uiPriority w:val="0"/>
  </w:style>
  <w:style w:type="paragraph" w:customStyle="1" w:styleId="21">
    <w:name w:val="HtmlNormal"/>
    <w:basedOn w:val="1"/>
    <w:semiHidden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22">
    <w:name w:val="页脚 Char"/>
    <w:basedOn w:val="8"/>
    <w:link w:val="3"/>
    <w:qFormat/>
    <w:uiPriority w:val="99"/>
    <w:rPr>
      <w:rFonts w:cstheme="minorBidi"/>
      <w:kern w:val="2"/>
      <w:sz w:val="18"/>
      <w:szCs w:val="18"/>
    </w:rPr>
  </w:style>
  <w:style w:type="paragraph" w:customStyle="1" w:styleId="23">
    <w:name w:val="Body text|2"/>
    <w:basedOn w:val="1"/>
    <w:qFormat/>
    <w:uiPriority w:val="0"/>
    <w:pPr>
      <w:spacing w:after="300"/>
      <w:ind w:firstLine="740"/>
    </w:pPr>
    <w:rPr>
      <w:rFonts w:ascii="宋体" w:hAnsi="宋体" w:cs="宋体"/>
      <w:sz w:val="26"/>
      <w:szCs w:val="26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Micorosoft</Company>
  <Pages>4</Pages>
  <Words>307</Words>
  <Characters>1751</Characters>
  <Lines>14</Lines>
  <Paragraphs>4</Paragraphs>
  <TotalTime>3</TotalTime>
  <ScaleCrop>false</ScaleCrop>
  <LinksUpToDate>false</LinksUpToDate>
  <CharactersWithSpaces>2054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2021-01-13T04:51:00Z</dcterms:created>
  <dc:creator>Administrator</dc:creator>
  <cp:lastModifiedBy>丘丘</cp:lastModifiedBy>
  <cp:lastPrinted>2022-01-08T09:14:20Z</cp:lastPrinted>
  <dcterms:modified xsi:type="dcterms:W3CDTF">2022-01-08T09:15:47Z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E19B21A67DE14BDE916AC592ABBC9D8F</vt:lpwstr>
  </property>
</Properties>
</file>