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spacing w:before="0" w:beforeAutospacing="0" w:after="0" w:afterAutospacing="0" w:line="600" w:lineRule="exact"/>
        <w:jc w:val="center"/>
        <w:rPr>
          <w:rStyle w:val="14"/>
          <w:rFonts w:ascii="黑体" w:eastAsia="黑体"/>
          <w:sz w:val="44"/>
          <w:szCs w:val="44"/>
        </w:rPr>
      </w:pPr>
      <w:r>
        <w:rPr>
          <w:rStyle w:val="12"/>
          <w:rFonts w:ascii="黑体" w:eastAsia="黑体" w:cs="宋体"/>
          <w:sz w:val="44"/>
          <w:szCs w:val="44"/>
        </w:rPr>
        <w:t>中国人民政治协商会议</w:t>
      </w:r>
    </w:p>
    <w:p>
      <w:pPr>
        <w:pStyle w:val="18"/>
        <w:spacing w:before="0" w:beforeAutospacing="0" w:after="0" w:afterAutospacing="0" w:line="600" w:lineRule="exact"/>
        <w:jc w:val="center"/>
        <w:rPr>
          <w:rStyle w:val="14"/>
          <w:rFonts w:hint="eastAsia"/>
          <w:sz w:val="44"/>
          <w:szCs w:val="44"/>
        </w:rPr>
      </w:pPr>
      <w:r>
        <w:rPr>
          <w:rStyle w:val="14"/>
          <w:sz w:val="44"/>
          <w:szCs w:val="44"/>
        </w:rPr>
        <w:t>黔东南苗族侗族自治州委员会</w:t>
      </w:r>
    </w:p>
    <w:p>
      <w:pPr>
        <w:pStyle w:val="18"/>
        <w:spacing w:before="0" w:beforeAutospacing="0" w:after="0" w:afterAutospacing="0" w:line="600" w:lineRule="exact"/>
        <w:jc w:val="center"/>
        <w:rPr>
          <w:rStyle w:val="14"/>
          <w:rFonts w:hint="eastAsia"/>
          <w:sz w:val="44"/>
          <w:szCs w:val="44"/>
        </w:rPr>
      </w:pPr>
      <w:r>
        <w:rPr>
          <w:rStyle w:val="14"/>
          <w:sz w:val="44"/>
          <w:szCs w:val="44"/>
        </w:rPr>
        <w:t>提</w:t>
      </w:r>
      <w:r>
        <w:rPr>
          <w:rStyle w:val="14"/>
          <w:rFonts w:hint="eastAsia"/>
          <w:sz w:val="44"/>
          <w:szCs w:val="44"/>
        </w:rPr>
        <w:t xml:space="preserve">   </w:t>
      </w:r>
      <w:r>
        <w:rPr>
          <w:rStyle w:val="14"/>
          <w:sz w:val="44"/>
          <w:szCs w:val="44"/>
        </w:rPr>
        <w:t>案</w:t>
      </w:r>
    </w:p>
    <w:p>
      <w:pPr>
        <w:spacing w:line="320" w:lineRule="exact"/>
        <w:jc w:val="center"/>
        <w:textAlignment w:val="top"/>
        <w:rPr>
          <w:rStyle w:val="14"/>
          <w:rFonts w:hint="eastAsia" w:ascii="宋体" w:hAnsi="宋体"/>
          <w:kern w:val="0"/>
          <w:sz w:val="24"/>
        </w:rPr>
      </w:pPr>
    </w:p>
    <w:p>
      <w:pPr>
        <w:spacing w:line="320" w:lineRule="exact"/>
        <w:jc w:val="center"/>
        <w:textAlignment w:val="top"/>
        <w:rPr>
          <w:rStyle w:val="14"/>
          <w:rFonts w:hint="eastAsia" w:ascii="宋体" w:hAnsi="宋体"/>
          <w:kern w:val="0"/>
          <w:sz w:val="24"/>
        </w:rPr>
      </w:pPr>
    </w:p>
    <w:p>
      <w:pPr>
        <w:spacing w:line="760" w:lineRule="exact"/>
        <w:jc w:val="both"/>
        <w:textAlignment w:val="top"/>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1" name="矩形 1"/>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C+6oZl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320" w:lineRule="exact"/>
        <w:rPr>
          <w:rStyle w:val="14"/>
          <w:rFonts w:hint="default" w:ascii="宋体" w:hAnsi="宋体" w:eastAsia="宋体"/>
          <w:kern w:val="0"/>
          <w:sz w:val="24"/>
          <w:lang w:val="en-US" w:eastAsia="zh-CN"/>
        </w:rPr>
      </w:pPr>
      <w:r>
        <w:rPr>
          <w:rStyle w:val="14"/>
          <w:rFonts w:ascii="宋体" w:hAnsi="宋体"/>
          <w:kern w:val="0"/>
          <w:sz w:val="24"/>
        </w:rPr>
        <w:t>第十</w:t>
      </w:r>
      <w:r>
        <w:rPr>
          <w:rStyle w:val="14"/>
          <w:rFonts w:hint="eastAsia" w:ascii="宋体" w:hAnsi="宋体"/>
          <w:kern w:val="0"/>
          <w:sz w:val="24"/>
          <w:lang w:val="en-US" w:eastAsia="zh-CN"/>
        </w:rPr>
        <w:t>三</w:t>
      </w:r>
      <w:r>
        <w:rPr>
          <w:rStyle w:val="14"/>
          <w:rFonts w:ascii="宋体" w:hAnsi="宋体"/>
          <w:kern w:val="0"/>
          <w:sz w:val="24"/>
        </w:rPr>
        <w:t>届第</w:t>
      </w:r>
      <w:r>
        <w:rPr>
          <w:rStyle w:val="14"/>
          <w:rFonts w:hint="eastAsia" w:ascii="宋体" w:hAnsi="宋体"/>
          <w:kern w:val="0"/>
          <w:sz w:val="24"/>
          <w:lang w:val="en-US" w:eastAsia="zh-CN"/>
        </w:rPr>
        <w:t>一</w:t>
      </w:r>
      <w:r>
        <w:rPr>
          <w:rStyle w:val="14"/>
          <w:rFonts w:ascii="宋体" w:hAnsi="宋体"/>
          <w:kern w:val="0"/>
          <w:sz w:val="24"/>
        </w:rPr>
        <w:t>次会议　       　第</w:t>
      </w:r>
      <w:r>
        <w:rPr>
          <w:rStyle w:val="14"/>
          <w:rFonts w:hint="eastAsia" w:ascii="宋体" w:hAnsi="宋体"/>
          <w:kern w:val="0"/>
          <w:sz w:val="24"/>
          <w:lang w:val="en-US" w:eastAsia="zh-CN"/>
        </w:rPr>
        <w:t>00</w:t>
      </w:r>
      <w:bookmarkStart w:id="0" w:name="_GoBack"/>
      <w:bookmarkEnd w:id="0"/>
      <w:r>
        <w:rPr>
          <w:rStyle w:val="14"/>
          <w:rFonts w:hint="eastAsia" w:ascii="宋体" w:hAnsi="宋体"/>
          <w:kern w:val="0"/>
          <w:sz w:val="24"/>
          <w:lang w:val="en-US" w:eastAsia="zh-CN"/>
        </w:rPr>
        <w:t>3</w:t>
      </w:r>
      <w:r>
        <w:rPr>
          <w:rStyle w:val="14"/>
          <w:rFonts w:ascii="宋体" w:hAnsi="宋体"/>
          <w:kern w:val="0"/>
          <w:sz w:val="24"/>
        </w:rPr>
        <w:t xml:space="preserve">号　    </w:t>
      </w:r>
      <w:r>
        <w:rPr>
          <w:rStyle w:val="14"/>
          <w:rFonts w:hint="eastAsia" w:ascii="宋体" w:hAnsi="宋体"/>
          <w:kern w:val="0"/>
          <w:sz w:val="24"/>
        </w:rPr>
        <w:t xml:space="preserve">    </w:t>
      </w:r>
      <w:r>
        <w:rPr>
          <w:rStyle w:val="14"/>
          <w:rFonts w:hint="eastAsia" w:ascii="宋体" w:hAnsi="宋体"/>
          <w:kern w:val="0"/>
          <w:sz w:val="24"/>
          <w:lang w:val="en-US" w:eastAsia="zh-CN"/>
        </w:rPr>
        <w:t xml:space="preserve"> 类别：经济建设类     </w:t>
      </w:r>
    </w:p>
    <w:p>
      <w:pPr>
        <w:spacing w:line="320" w:lineRule="exact"/>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74945" cy="38100"/>
                <wp:effectExtent l="0" t="0" r="1905" b="0"/>
                <wp:docPr id="2" name="矩形 2"/>
                <wp:cNvGraphicFramePr/>
                <a:graphic xmlns:a="http://schemas.openxmlformats.org/drawingml/2006/main">
                  <a:graphicData uri="http://schemas.microsoft.com/office/word/2010/wordprocessingShape">
                    <wps:wsp>
                      <wps:cNvSpPr/>
                      <wps:spPr>
                        <a:xfrm>
                          <a:off x="0" y="0"/>
                          <a:ext cx="5274945" cy="3810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3pt;width:415.35pt;" fillcolor="#ACA899" filled="t" stroked="f" coordsize="21600,21600" o:gfxdata="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zMVtO0wAAAAMBAAAPAAAAAAAAAAEAIAAAACIAAABkcnMvZG93bnJldi54bWxQSwEC&#10;FAAUAAAACACHTuJApo3SZ8ABAAB3AwAADgAAAAAAAAABACAAAAAiAQAAZHJzL2Uyb0RvYy54bWxQ&#10;SwUGAAAAAAYABgBZAQAAVAUAAAAA&#10;">
                <v:fill on="t" focussize="0,0"/>
                <v:stroke on="f"/>
                <v:imagedata o:title=""/>
                <o:lock v:ext="edit" aspectratio="f"/>
                <v:textbox>
                  <w:txbxContent>
                    <w:p/>
                  </w:txbxContent>
                </v:textbox>
                <w10:wrap type="none"/>
                <w10:anchorlock/>
              </v:rect>
            </w:pict>
          </mc:Fallback>
        </mc:AlternateContent>
      </w:r>
    </w:p>
    <w:tbl>
      <w:tblPr>
        <w:tblStyle w:val="10"/>
        <w:tblW w:w="8550" w:type="dxa"/>
        <w:tblInd w:w="0" w:type="dxa"/>
        <w:tblLayout w:type="fixed"/>
        <w:tblCellMar>
          <w:top w:w="0" w:type="dxa"/>
          <w:left w:w="15" w:type="dxa"/>
          <w:bottom w:w="0" w:type="dxa"/>
          <w:right w:w="15" w:type="dxa"/>
        </w:tblCellMar>
      </w:tblPr>
      <w:tblGrid>
        <w:gridCol w:w="1753"/>
        <w:gridCol w:w="3872"/>
        <w:gridCol w:w="1440"/>
        <w:gridCol w:w="1485"/>
      </w:tblGrid>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案</w:t>
            </w:r>
            <w:r>
              <w:rPr>
                <w:rStyle w:val="14"/>
                <w:rFonts w:ascii="宋体" w:hAnsi="宋体" w:eastAsia="黑体" w:cs="宋体"/>
                <w:b/>
                <w:bCs/>
                <w:kern w:val="0"/>
                <w:sz w:val="24"/>
              </w:rPr>
              <w:t>  </w:t>
            </w:r>
            <w:r>
              <w:rPr>
                <w:rStyle w:val="14"/>
                <w:rFonts w:ascii="黑体" w:hAnsi="宋体" w:eastAsia="黑体" w:cs="宋体"/>
                <w:b/>
                <w:bCs/>
                <w:kern w:val="0"/>
                <w:sz w:val="24"/>
              </w:rPr>
              <w:t>由</w:t>
            </w:r>
            <w:r>
              <w:rPr>
                <w:rStyle w:val="14"/>
                <w:rFonts w:ascii="宋体" w:hAnsi="宋体" w:cs="宋体"/>
                <w:b/>
                <w:bCs/>
                <w:kern w:val="0"/>
                <w:sz w:val="24"/>
              </w:rPr>
              <w:t>：</w:t>
            </w:r>
          </w:p>
        </w:tc>
        <w:tc>
          <w:tcPr>
            <w:tcW w:w="6797" w:type="dxa"/>
            <w:gridSpan w:val="3"/>
            <w:vAlign w:val="center"/>
          </w:tcPr>
          <w:p>
            <w:pPr>
              <w:jc w:val="left"/>
              <w:rPr>
                <w:rStyle w:val="14"/>
                <w:rFonts w:hint="eastAsia" w:ascii="宋体" w:hAnsi="宋体" w:eastAsia="宋体" w:cs="宋体"/>
                <w:b/>
                <w:bCs/>
                <w:kern w:val="0"/>
                <w:sz w:val="24"/>
                <w:lang w:eastAsia="zh-CN"/>
              </w:rPr>
            </w:pPr>
            <w:r>
              <w:rPr>
                <w:rFonts w:hint="default" w:ascii="Times New Roman" w:hAnsi="Times New Roman" w:cs="Times New Roman"/>
                <w:b/>
                <w:bCs/>
                <w:kern w:val="0"/>
                <w:sz w:val="24"/>
              </w:rPr>
              <w:t>关于东西部协作新形势下我州产业承接和招商引资的建议</w:t>
            </w:r>
          </w:p>
        </w:tc>
      </w:tr>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Style w:val="14"/>
                <w:rFonts w:ascii="黑体" w:hAnsi="宋体" w:eastAsia="黑体" w:cs="宋体"/>
                <w:b/>
                <w:bCs/>
                <w:kern w:val="0"/>
                <w:sz w:val="24"/>
              </w:rPr>
              <w:t>审查意见</w:t>
            </w:r>
            <w:r>
              <w:rPr>
                <w:rStyle w:val="14"/>
                <w:rFonts w:ascii="宋体" w:hAnsi="宋体" w:cs="宋体"/>
                <w:b/>
                <w:bCs/>
                <w:kern w:val="0"/>
                <w:sz w:val="24"/>
              </w:rPr>
              <w:t>：</w:t>
            </w:r>
          </w:p>
        </w:tc>
        <w:tc>
          <w:tcPr>
            <w:tcW w:w="6797" w:type="dxa"/>
            <w:gridSpan w:val="3"/>
            <w:vAlign w:val="center"/>
          </w:tcPr>
          <w:p>
            <w:pPr>
              <w:jc w:val="left"/>
              <w:rPr>
                <w:rStyle w:val="14"/>
                <w:rFonts w:hint="default" w:ascii="宋体" w:hAnsi="宋体"/>
                <w:kern w:val="0"/>
                <w:sz w:val="24"/>
                <w:lang w:val="en-US" w:eastAsia="zh-CN"/>
              </w:rPr>
            </w:pPr>
            <w:r>
              <w:rPr>
                <w:rStyle w:val="14"/>
                <w:rFonts w:hint="eastAsia" w:ascii="宋体" w:hAnsi="宋体"/>
                <w:kern w:val="0"/>
                <w:sz w:val="24"/>
                <w:lang w:eastAsia="zh-CN"/>
              </w:rPr>
              <w:t>主办：</w:t>
            </w:r>
            <w:r>
              <w:rPr>
                <w:rStyle w:val="14"/>
                <w:rFonts w:hint="eastAsia" w:ascii="宋体" w:hAnsi="宋体"/>
                <w:kern w:val="0"/>
                <w:sz w:val="24"/>
                <w:lang w:val="en-US" w:eastAsia="zh-CN"/>
              </w:rPr>
              <w:t>州投资促进局   会办：</w:t>
            </w:r>
          </w:p>
        </w:tc>
      </w:tr>
      <w:tr>
        <w:tblPrEx>
          <w:tblCellMar>
            <w:top w:w="0" w:type="dxa"/>
            <w:left w:w="15" w:type="dxa"/>
            <w:bottom w:w="0" w:type="dxa"/>
            <w:right w:w="15" w:type="dxa"/>
          </w:tblCellMar>
        </w:tblPrEx>
        <w:tc>
          <w:tcPr>
            <w:tcW w:w="1753" w:type="dxa"/>
            <w:vAlign w:val="center"/>
          </w:tcPr>
          <w:p>
            <w:pPr>
              <w:jc w:val="left"/>
              <w:rPr>
                <w:rStyle w:val="14"/>
                <w:rFonts w:ascii="黑体" w:hAnsi="宋体" w:eastAsia="黑体"/>
                <w:kern w:val="0"/>
                <w:sz w:val="24"/>
              </w:rPr>
            </w:pPr>
            <w:r>
              <w:rPr>
                <w:rStyle w:val="14"/>
                <w:rFonts w:ascii="黑体" w:hAnsi="宋体" w:eastAsia="黑体" w:cs="宋体"/>
                <w:b/>
                <w:bCs/>
                <w:kern w:val="0"/>
                <w:sz w:val="24"/>
              </w:rPr>
              <w:t>提</w:t>
            </w:r>
            <w:r>
              <w:rPr>
                <w:rStyle w:val="14"/>
                <w:rFonts w:ascii="宋体" w:hAnsi="宋体" w:eastAsia="黑体" w:cs="宋体"/>
                <w:b/>
                <w:bCs/>
                <w:kern w:val="0"/>
                <w:sz w:val="24"/>
              </w:rPr>
              <w:t> </w:t>
            </w:r>
            <w:r>
              <w:rPr>
                <w:rStyle w:val="14"/>
                <w:rFonts w:ascii="黑体" w:hAnsi="宋体" w:eastAsia="黑体" w:cs="宋体"/>
                <w:b/>
                <w:bCs/>
                <w:kern w:val="0"/>
                <w:sz w:val="24"/>
              </w:rPr>
              <w:t>案人</w:t>
            </w:r>
            <w:r>
              <w:rPr>
                <w:rStyle w:val="14"/>
                <w:rFonts w:ascii="宋体" w:hAnsi="宋体" w:eastAsia="黑体" w:cs="宋体"/>
                <w:b/>
                <w:bCs/>
                <w:kern w:val="0"/>
                <w:sz w:val="24"/>
              </w:rPr>
              <w:t>：</w:t>
            </w:r>
          </w:p>
        </w:tc>
        <w:tc>
          <w:tcPr>
            <w:tcW w:w="3872" w:type="dxa"/>
            <w:vAlign w:val="center"/>
          </w:tcPr>
          <w:p>
            <w:pPr>
              <w:jc w:val="left"/>
              <w:rPr>
                <w:rStyle w:val="14"/>
                <w:rFonts w:ascii="宋体" w:hAnsi="宋体"/>
                <w:kern w:val="0"/>
                <w:sz w:val="24"/>
              </w:rPr>
            </w:pPr>
            <w:r>
              <w:rPr>
                <w:rStyle w:val="14"/>
                <w:rFonts w:ascii="宋体" w:hAnsi="宋体" w:cs="宋体"/>
                <w:b/>
                <w:bCs/>
                <w:kern w:val="0"/>
                <w:sz w:val="24"/>
              </w:rPr>
              <w:t>通讯地址</w:t>
            </w:r>
          </w:p>
        </w:tc>
        <w:tc>
          <w:tcPr>
            <w:tcW w:w="1440" w:type="dxa"/>
            <w:vAlign w:val="center"/>
          </w:tcPr>
          <w:p>
            <w:pPr>
              <w:jc w:val="left"/>
              <w:rPr>
                <w:rStyle w:val="14"/>
                <w:rFonts w:ascii="宋体" w:hAnsi="宋体"/>
                <w:kern w:val="0"/>
                <w:sz w:val="24"/>
              </w:rPr>
            </w:pPr>
            <w:r>
              <w:rPr>
                <w:rStyle w:val="14"/>
                <w:rFonts w:ascii="宋体" w:hAnsi="宋体" w:cs="宋体"/>
                <w:b/>
                <w:bCs/>
                <w:kern w:val="0"/>
                <w:sz w:val="24"/>
              </w:rPr>
              <w:t>邮政编码</w:t>
            </w:r>
          </w:p>
        </w:tc>
        <w:tc>
          <w:tcPr>
            <w:tcW w:w="1485" w:type="dxa"/>
            <w:vAlign w:val="center"/>
          </w:tcPr>
          <w:p>
            <w:pPr>
              <w:jc w:val="left"/>
              <w:rPr>
                <w:rStyle w:val="14"/>
                <w:rFonts w:ascii="宋体" w:hAnsi="宋体"/>
                <w:kern w:val="0"/>
                <w:sz w:val="24"/>
              </w:rPr>
            </w:pPr>
            <w:r>
              <w:rPr>
                <w:rStyle w:val="14"/>
                <w:rFonts w:ascii="宋体" w:hAnsi="宋体" w:cs="宋体"/>
                <w:b/>
                <w:bCs/>
                <w:kern w:val="0"/>
                <w:sz w:val="24"/>
              </w:rPr>
              <w:t>联系电话</w:t>
            </w:r>
          </w:p>
        </w:tc>
      </w:tr>
      <w:tr>
        <w:tblPrEx>
          <w:tblCellMar>
            <w:top w:w="0" w:type="dxa"/>
            <w:left w:w="15" w:type="dxa"/>
            <w:bottom w:w="0" w:type="dxa"/>
            <w:right w:w="15" w:type="dxa"/>
          </w:tblCellMar>
        </w:tblPrEx>
        <w:tc>
          <w:tcPr>
            <w:tcW w:w="1753" w:type="dxa"/>
            <w:vAlign w:val="center"/>
          </w:tcPr>
          <w:p>
            <w:pPr>
              <w:jc w:val="left"/>
              <w:rPr>
                <w:rStyle w:val="14"/>
                <w:rFonts w:ascii="宋体" w:hAnsi="宋体"/>
                <w:kern w:val="0"/>
                <w:sz w:val="24"/>
              </w:rPr>
            </w:pPr>
            <w:r>
              <w:rPr>
                <w:rFonts w:hint="default" w:ascii="Times New Roman" w:hAnsi="Times New Roman" w:cs="Times New Roman"/>
                <w:kern w:val="0"/>
                <w:sz w:val="24"/>
              </w:rPr>
              <w:t>民建黔东南州委</w:t>
            </w:r>
          </w:p>
        </w:tc>
        <w:tc>
          <w:tcPr>
            <w:tcW w:w="3872" w:type="dxa"/>
            <w:vAlign w:val="center"/>
          </w:tcPr>
          <w:p>
            <w:pPr>
              <w:jc w:val="left"/>
              <w:rPr>
                <w:rStyle w:val="14"/>
                <w:rFonts w:hint="eastAsia" w:ascii="宋体" w:hAnsi="宋体" w:eastAsia="宋体"/>
                <w:kern w:val="0"/>
                <w:sz w:val="24"/>
                <w:lang w:val="en-US" w:eastAsia="zh-CN"/>
              </w:rPr>
            </w:pPr>
            <w:r>
              <w:rPr>
                <w:rFonts w:hint="default" w:ascii="Times New Roman" w:hAnsi="Times New Roman" w:cs="Times New Roman"/>
                <w:kern w:val="0"/>
                <w:sz w:val="24"/>
              </w:rPr>
              <w:t>凯里市文化北路15号</w:t>
            </w:r>
          </w:p>
        </w:tc>
        <w:tc>
          <w:tcPr>
            <w:tcW w:w="1440" w:type="dxa"/>
            <w:vAlign w:val="center"/>
          </w:tcPr>
          <w:p>
            <w:pPr>
              <w:jc w:val="left"/>
              <w:rPr>
                <w:rStyle w:val="14"/>
                <w:rFonts w:ascii="宋体" w:hAnsi="宋体"/>
                <w:kern w:val="0"/>
                <w:sz w:val="24"/>
              </w:rPr>
            </w:pPr>
            <w:r>
              <w:rPr>
                <w:rFonts w:hint="default" w:ascii="Times New Roman" w:hAnsi="Times New Roman" w:cs="Times New Roman"/>
                <w:kern w:val="0"/>
                <w:sz w:val="24"/>
              </w:rPr>
              <w:t>556000</w:t>
            </w:r>
          </w:p>
        </w:tc>
        <w:tc>
          <w:tcPr>
            <w:tcW w:w="1485" w:type="dxa"/>
            <w:vAlign w:val="center"/>
          </w:tcPr>
          <w:p>
            <w:pPr>
              <w:jc w:val="left"/>
              <w:rPr>
                <w:rStyle w:val="14"/>
                <w:rFonts w:hint="default" w:ascii="宋体" w:hAnsi="宋体" w:eastAsia="宋体"/>
                <w:kern w:val="0"/>
                <w:sz w:val="24"/>
                <w:lang w:val="en-US" w:eastAsia="zh-CN"/>
              </w:rPr>
            </w:pPr>
            <w:r>
              <w:rPr>
                <w:rFonts w:hint="default" w:ascii="Times New Roman" w:hAnsi="Times New Roman" w:cs="Times New Roman"/>
                <w:kern w:val="0"/>
                <w:sz w:val="24"/>
              </w:rPr>
              <w:t xml:space="preserve">2107329 </w:t>
            </w:r>
          </w:p>
        </w:tc>
      </w:tr>
      <w:tr>
        <w:tblPrEx>
          <w:tblCellMar>
            <w:top w:w="0" w:type="dxa"/>
            <w:left w:w="15" w:type="dxa"/>
            <w:bottom w:w="0" w:type="dxa"/>
            <w:right w:w="15" w:type="dxa"/>
          </w:tblCellMar>
        </w:tblPrEx>
        <w:tc>
          <w:tcPr>
            <w:tcW w:w="1753" w:type="dxa"/>
            <w:vAlign w:val="center"/>
          </w:tcPr>
          <w:p>
            <w:pPr>
              <w:jc w:val="left"/>
              <w:rPr>
                <w:rStyle w:val="14"/>
                <w:rFonts w:hint="eastAsia" w:ascii="宋体" w:hAnsi="宋体" w:eastAsia="宋体"/>
                <w:kern w:val="0"/>
                <w:sz w:val="24"/>
                <w:lang w:eastAsia="zh-CN"/>
              </w:rPr>
            </w:pPr>
            <w:r>
              <w:rPr>
                <w:rStyle w:val="14"/>
                <w:rFonts w:hint="eastAsia" w:ascii="黑体" w:hAnsi="宋体" w:eastAsia="黑体" w:cs="宋体"/>
                <w:b/>
                <w:bCs/>
                <w:kern w:val="0"/>
                <w:sz w:val="24"/>
                <w:szCs w:val="22"/>
                <w:lang w:eastAsia="zh-CN"/>
              </w:rPr>
              <w:t>工作联系电话：</w:t>
            </w:r>
          </w:p>
        </w:tc>
        <w:tc>
          <w:tcPr>
            <w:tcW w:w="6797" w:type="dxa"/>
            <w:gridSpan w:val="3"/>
            <w:vAlign w:val="center"/>
          </w:tcPr>
          <w:p>
            <w:pPr>
              <w:jc w:val="left"/>
              <w:rPr>
                <w:rStyle w:val="14"/>
                <w:rFonts w:hint="eastAsia" w:ascii="宋体" w:hAnsi="宋体"/>
                <w:kern w:val="0"/>
                <w:sz w:val="24"/>
                <w:lang w:val="en-US" w:eastAsia="zh-CN"/>
              </w:rPr>
            </w:pPr>
            <w:r>
              <w:rPr>
                <w:rStyle w:val="14"/>
                <w:rFonts w:hint="eastAsia" w:ascii="宋体" w:hAnsi="宋体"/>
                <w:kern w:val="0"/>
                <w:sz w:val="24"/>
                <w:lang w:eastAsia="zh-CN"/>
              </w:rPr>
              <w:t>州委办秘书五科：</w:t>
            </w:r>
            <w:r>
              <w:rPr>
                <w:rStyle w:val="14"/>
                <w:rFonts w:hint="eastAsia" w:ascii="宋体" w:hAnsi="宋体"/>
                <w:kern w:val="0"/>
                <w:sz w:val="24"/>
                <w:lang w:val="en-US" w:eastAsia="zh-CN"/>
              </w:rPr>
              <w:t>8270060；</w:t>
            </w:r>
            <w:r>
              <w:rPr>
                <w:rStyle w:val="14"/>
                <w:rFonts w:hint="eastAsia" w:ascii="宋体" w:hAnsi="宋体"/>
                <w:kern w:val="0"/>
                <w:sz w:val="24"/>
                <w:lang w:eastAsia="zh-CN"/>
              </w:rPr>
              <w:t>州政府办建议提案科：</w:t>
            </w:r>
            <w:r>
              <w:rPr>
                <w:rStyle w:val="14"/>
                <w:rFonts w:hint="eastAsia" w:ascii="宋体" w:hAnsi="宋体"/>
                <w:kern w:val="0"/>
                <w:sz w:val="24"/>
                <w:lang w:val="en-US" w:eastAsia="zh-CN"/>
              </w:rPr>
              <w:t>8260016；</w:t>
            </w:r>
          </w:p>
          <w:p>
            <w:pPr>
              <w:jc w:val="left"/>
              <w:rPr>
                <w:rStyle w:val="14"/>
                <w:rFonts w:hint="default" w:ascii="宋体" w:hAnsi="宋体"/>
                <w:kern w:val="0"/>
                <w:sz w:val="24"/>
                <w:lang w:val="en-US"/>
              </w:rPr>
            </w:pPr>
            <w:r>
              <w:rPr>
                <w:rStyle w:val="14"/>
                <w:rFonts w:hint="eastAsia" w:ascii="宋体" w:hAnsi="宋体"/>
                <w:kern w:val="0"/>
                <w:sz w:val="24"/>
                <w:lang w:eastAsia="zh-CN"/>
              </w:rPr>
              <w:t>州政协提案委：</w:t>
            </w:r>
            <w:r>
              <w:rPr>
                <w:rStyle w:val="14"/>
                <w:rFonts w:hint="eastAsia" w:ascii="宋体" w:hAnsi="宋体"/>
                <w:kern w:val="0"/>
                <w:sz w:val="24"/>
                <w:lang w:val="en-US" w:eastAsia="zh-CN"/>
              </w:rPr>
              <w:t>8428866</w:t>
            </w:r>
            <w:r>
              <w:rPr>
                <w:rStyle w:val="14"/>
                <w:rFonts w:hint="eastAsia" w:ascii="宋体" w:hAnsi="宋体"/>
                <w:kern w:val="0"/>
                <w:sz w:val="24"/>
                <w:lang w:eastAsia="zh-CN"/>
              </w:rPr>
              <w:t>。</w:t>
            </w:r>
          </w:p>
        </w:tc>
      </w:tr>
    </w:tbl>
    <w:p>
      <w:pPr>
        <w:jc w:val="left"/>
        <w:rPr>
          <w:rStyle w:val="14"/>
          <w:rFonts w:ascii="宋体" w:hAnsi="宋体"/>
          <w:kern w:val="0"/>
          <w:sz w:val="24"/>
        </w:rPr>
      </w:pPr>
      <w:r>
        <w:rPr>
          <w:rStyle w:val="14"/>
          <w:rFonts w:ascii="宋体" w:hAnsi="宋体"/>
          <w:kern w:val="0"/>
          <w:sz w:val="24"/>
        </w:rPr>
        <mc:AlternateContent>
          <mc:Choice Requires="wps">
            <w:drawing>
              <wp:inline distT="0" distB="0" distL="114300" distR="114300">
                <wp:extent cx="5212080" cy="35560"/>
                <wp:effectExtent l="0" t="0" r="7620" b="2540"/>
                <wp:docPr id="3" name="矩形 3"/>
                <wp:cNvGraphicFramePr/>
                <a:graphic xmlns:a="http://schemas.openxmlformats.org/drawingml/2006/main">
                  <a:graphicData uri="http://schemas.microsoft.com/office/word/2010/wordprocessingShape">
                    <wps:wsp>
                      <wps:cNvSpPr/>
                      <wps:spPr>
                        <a:xfrm>
                          <a:off x="0" y="0"/>
                          <a:ext cx="5212080" cy="35560"/>
                        </a:xfrm>
                        <a:prstGeom prst="rect">
                          <a:avLst/>
                        </a:prstGeom>
                        <a:solidFill>
                          <a:srgbClr val="ACA899"/>
                        </a:solidFill>
                        <a:ln>
                          <a:noFill/>
                        </a:ln>
                        <a:effectLst/>
                      </wps:spPr>
                      <wps:txbx>
                        <w:txbxContent>
                          <w:p/>
                        </w:txbxContent>
                      </wps:txbx>
                      <wps:bodyPr upright="1"/>
                    </wps:wsp>
                  </a:graphicData>
                </a:graphic>
              </wp:inline>
            </w:drawing>
          </mc:Choice>
          <mc:Fallback>
            <w:pict>
              <v:rect id="_x0000_s1026" o:spid="_x0000_s1026" o:spt="1" style="height:2.8pt;width:410.4pt;" fillcolor="#ACA899" filled="t" stroked="f" coordsize="21600,21600" o:gfxdata="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K3ccfDTAAAAAwEAAA8AAAAAAAAAAQAgAAAAIgAAAGRycy9kb3ducmV2LnhtbFBLAQIU&#10;ABQAAAAIAIdO4kBCLY2xvwEAAHcDAAAOAAAAAAAAAAEAIAAAACIBAABkcnMvZTJvRG9jLnhtbFBL&#10;BQYAAAAABgAGAFkBAABTBQAAAAA=&#10;">
                <v:fill on="t" focussize="0,0"/>
                <v:stroke on="f"/>
                <v:imagedata o:title=""/>
                <o:lock v:ext="edit" aspectratio="f"/>
                <v:textbox>
                  <w:txbxContent>
                    <w:p/>
                  </w:txbxContent>
                </v:textbox>
                <w10:wrap type="none"/>
                <w10:anchorlock/>
              </v:rect>
            </w:pict>
          </mc:Fallback>
        </mc:AlternateContent>
      </w:r>
    </w:p>
    <w:p>
      <w:pPr>
        <w:spacing w:line="560" w:lineRule="exact"/>
        <w:rPr>
          <w:rStyle w:val="14"/>
          <w:rFonts w:hint="eastAsia" w:ascii="仿宋_GB2312" w:hAnsi="宋体" w:eastAsia="仿宋_GB2312"/>
          <w:kern w:val="0"/>
          <w:sz w:val="32"/>
          <w:szCs w:val="32"/>
        </w:rPr>
      </w:pPr>
      <w:r>
        <w:rPr>
          <w:rStyle w:val="14"/>
          <w:rFonts w:hint="eastAsia" w:ascii="仿宋_GB2312" w:hAnsi="宋体" w:eastAsia="仿宋_GB2312"/>
          <w:kern w:val="0"/>
          <w:sz w:val="32"/>
          <w:szCs w:val="32"/>
        </w:rPr>
        <w:t>内容和办法</w:t>
      </w:r>
      <w:r>
        <w:rPr>
          <w:rStyle w:val="14"/>
          <w:rFonts w:hint="eastAsia" w:ascii="仿宋_GB2312" w:hAnsi="宋体" w:eastAsia="仿宋_GB2312"/>
          <w:kern w:val="0"/>
          <w:sz w:val="32"/>
          <w:szCs w:val="32"/>
          <w:lang w:eastAsia="zh-CN"/>
        </w:rPr>
        <w:t>：</w:t>
      </w:r>
    </w:p>
    <w:p>
      <w:pPr>
        <w:spacing w:line="560" w:lineRule="exact"/>
        <w:ind w:firstLine="640"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根据国家和省、州新阶段东西部协作工作部署，“十四五”期间，黔东南州东西部协作结对城市为广东省佛山市。3月26日，佛山市发文对新阶段东西部协作区县结对关系进行了明确。</w:t>
      </w:r>
    </w:p>
    <w:p>
      <w:pPr>
        <w:spacing w:line="560" w:lineRule="exact"/>
        <w:ind w:firstLine="640"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目前，我州产业发展仍存在明显的短板差距及深层体制机制制约。其中，短板差距主要表现在：经济增长质量和效率不高，工业基础薄弱，产业集聚度低，带动能力不强，创新驱动经济发展能力弱，对外开放水平低、领域窄、单向度，产业结构不够优化。体制机制制约主要表现在：企业发展仍然面临较多隐形障碍，基础研究能力偏弱，科技成果转化难，对外开放水平和层次较低，金融支撑现代产业体系发展机制不健全，绿色发展制度创新任重道远，营商环境有待进一步优化。</w:t>
      </w:r>
    </w:p>
    <w:p>
      <w:pPr>
        <w:spacing w:line="560" w:lineRule="exact"/>
        <w:ind w:firstLine="643"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bCs/>
          <w:kern w:val="0"/>
          <w:sz w:val="32"/>
          <w:szCs w:val="32"/>
          <w:lang w:val="en-US" w:eastAsia="zh-CN"/>
        </w:rPr>
        <w:t>一是</w:t>
      </w:r>
      <w:r>
        <w:rPr>
          <w:rStyle w:val="14"/>
          <w:rFonts w:hint="eastAsia" w:ascii="仿宋_GB2312" w:hAnsi="仿宋_GB2312" w:eastAsia="仿宋_GB2312" w:cs="仿宋_GB2312"/>
          <w:b w:val="0"/>
          <w:bCs w:val="0"/>
          <w:kern w:val="0"/>
          <w:sz w:val="32"/>
          <w:szCs w:val="32"/>
          <w:lang w:val="en-US" w:eastAsia="zh-CN"/>
        </w:rPr>
        <w:t>产业发展定位尚需进一步明晰，有的为了完成招商引资任务而进行的盲目性招商，只图短平快而忽视了产业的延续性，引进与本地重点产业不匹配的项目，导致只见项目不见产业，一些项目和落户企业以单体形式存在，关联度低，未能形成以龙头企业或行业为中心的产业集群、产业链条，导致企业存活率不高。</w:t>
      </w:r>
    </w:p>
    <w:p>
      <w:pPr>
        <w:spacing w:line="560" w:lineRule="exact"/>
        <w:ind w:firstLine="643"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bCs/>
          <w:kern w:val="0"/>
          <w:sz w:val="32"/>
          <w:szCs w:val="32"/>
          <w:lang w:val="en-US" w:eastAsia="zh-CN"/>
        </w:rPr>
        <w:t>二是</w:t>
      </w:r>
      <w:r>
        <w:rPr>
          <w:rStyle w:val="14"/>
          <w:rFonts w:hint="eastAsia" w:ascii="仿宋_GB2312" w:hAnsi="仿宋_GB2312" w:eastAsia="仿宋_GB2312" w:cs="仿宋_GB2312"/>
          <w:b w:val="0"/>
          <w:bCs w:val="0"/>
          <w:kern w:val="0"/>
          <w:sz w:val="32"/>
          <w:szCs w:val="32"/>
          <w:lang w:val="en-US" w:eastAsia="zh-CN"/>
        </w:rPr>
        <w:t>招商市场化、社会化不够，政府招商仍占主导，对市场的调研和考察较少，外出招商的准备不充分、针对性差，难以在市场中准确把握招商信息。</w:t>
      </w:r>
    </w:p>
    <w:p>
      <w:pPr>
        <w:spacing w:line="560" w:lineRule="exact"/>
        <w:ind w:firstLine="643"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bCs/>
          <w:kern w:val="0"/>
          <w:sz w:val="32"/>
          <w:szCs w:val="32"/>
          <w:lang w:val="en-US" w:eastAsia="zh-CN"/>
        </w:rPr>
        <w:t>三是</w:t>
      </w:r>
      <w:r>
        <w:rPr>
          <w:rStyle w:val="14"/>
          <w:rFonts w:hint="eastAsia" w:ascii="仿宋_GB2312" w:hAnsi="仿宋_GB2312" w:eastAsia="仿宋_GB2312" w:cs="仿宋_GB2312"/>
          <w:b w:val="0"/>
          <w:bCs w:val="0"/>
          <w:kern w:val="0"/>
          <w:sz w:val="32"/>
          <w:szCs w:val="32"/>
          <w:lang w:val="en-US" w:eastAsia="zh-CN"/>
        </w:rPr>
        <w:t>在吸引项目落地的产业配套和要素保障方面，尤其是水、电、气和物流成本方面，我州与东部发达地区相比优势不明显，导致招引项目过程中吸引力不足，竞争力不强。</w:t>
      </w:r>
    </w:p>
    <w:p>
      <w:pPr>
        <w:spacing w:line="560" w:lineRule="exact"/>
        <w:ind w:firstLine="643"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bCs/>
          <w:kern w:val="0"/>
          <w:sz w:val="32"/>
          <w:szCs w:val="32"/>
          <w:lang w:val="en-US" w:eastAsia="zh-CN"/>
        </w:rPr>
        <w:t>四是</w:t>
      </w:r>
      <w:r>
        <w:rPr>
          <w:rStyle w:val="14"/>
          <w:rFonts w:hint="eastAsia" w:ascii="仿宋_GB2312" w:hAnsi="仿宋_GB2312" w:eastAsia="仿宋_GB2312" w:cs="仿宋_GB2312"/>
          <w:b w:val="0"/>
          <w:bCs w:val="0"/>
          <w:kern w:val="0"/>
          <w:sz w:val="32"/>
          <w:szCs w:val="32"/>
          <w:lang w:val="en-US" w:eastAsia="zh-CN"/>
        </w:rPr>
        <w:t>政策不够精准。已出台招商引资优惠政策，覆盖面比较广，力度也比较大，但众多的优惠政策多以产业扶持的形式分散在相关文件中，不够具体，缺乏操作性。在外出招商过程中，面对目标企业时缺乏打动其投资的专属优惠政策，具体实用的优惠政策多以“一事一议”或园区管委会文件确定，因层面不高，企业担心投资后易变化、难兑现。</w:t>
      </w:r>
    </w:p>
    <w:p>
      <w:pPr>
        <w:spacing w:line="560" w:lineRule="exact"/>
        <w:ind w:firstLine="640"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建议：</w:t>
      </w:r>
    </w:p>
    <w:p>
      <w:pPr>
        <w:spacing w:line="560" w:lineRule="exact"/>
        <w:ind w:firstLine="640" w:firstLineChars="200"/>
        <w:rPr>
          <w:rStyle w:val="14"/>
          <w:rFonts w:hint="eastAsia" w:ascii="楷体_GB2312" w:hAnsi="楷体_GB2312" w:eastAsia="楷体_GB2312" w:cs="楷体_GB2312"/>
          <w:b w:val="0"/>
          <w:bCs w:val="0"/>
          <w:kern w:val="0"/>
          <w:sz w:val="32"/>
          <w:szCs w:val="32"/>
          <w:lang w:val="en-US" w:eastAsia="zh-CN"/>
        </w:rPr>
      </w:pPr>
      <w:r>
        <w:rPr>
          <w:rStyle w:val="14"/>
          <w:rFonts w:hint="eastAsia" w:ascii="楷体_GB2312" w:hAnsi="楷体_GB2312" w:eastAsia="楷体_GB2312" w:cs="楷体_GB2312"/>
          <w:b w:val="0"/>
          <w:bCs w:val="0"/>
          <w:kern w:val="0"/>
          <w:sz w:val="32"/>
          <w:szCs w:val="32"/>
          <w:lang w:val="en-US" w:eastAsia="zh-CN"/>
        </w:rPr>
        <w:t>（一）加强“队伍建设”寻求“智”的突破</w:t>
      </w:r>
    </w:p>
    <w:p>
      <w:pPr>
        <w:spacing w:line="560" w:lineRule="exact"/>
        <w:ind w:firstLine="640"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招商引资不仅是软硬实力的较量，更是人才智力的博弈。要提升招商引资质量和水平，就必须着力招揽、培养人才。充分调动人才的主观能动性，配强一线招商力量，把素质高、能力强、善开拓、吃苦耐劳的人员充实到招商一线，重点考虑招商人员的年龄层次、专业领域，选派优秀招商人员到州政府驻外办和州驻粤工作队挂职等，不断增强招商效果。</w:t>
      </w:r>
    </w:p>
    <w:p>
      <w:pPr>
        <w:spacing w:line="560" w:lineRule="exact"/>
        <w:ind w:firstLine="640" w:firstLineChars="200"/>
        <w:rPr>
          <w:rStyle w:val="14"/>
          <w:rFonts w:hint="eastAsia" w:ascii="楷体_GB2312" w:hAnsi="楷体_GB2312" w:eastAsia="楷体_GB2312" w:cs="楷体_GB2312"/>
          <w:b w:val="0"/>
          <w:bCs w:val="0"/>
          <w:kern w:val="0"/>
          <w:sz w:val="32"/>
          <w:szCs w:val="32"/>
          <w:lang w:val="en-US" w:eastAsia="zh-CN"/>
        </w:rPr>
      </w:pPr>
      <w:r>
        <w:rPr>
          <w:rStyle w:val="14"/>
          <w:rFonts w:hint="eastAsia" w:ascii="楷体_GB2312" w:hAnsi="楷体_GB2312" w:eastAsia="楷体_GB2312" w:cs="楷体_GB2312"/>
          <w:b w:val="0"/>
          <w:bCs w:val="0"/>
          <w:kern w:val="0"/>
          <w:sz w:val="32"/>
          <w:szCs w:val="32"/>
          <w:lang w:val="en-US" w:eastAsia="zh-CN"/>
        </w:rPr>
        <w:t>（二）突出“招大引强”寻求“实”的突破</w:t>
      </w:r>
    </w:p>
    <w:p>
      <w:pPr>
        <w:spacing w:line="560" w:lineRule="exact"/>
        <w:ind w:firstLine="643"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bCs/>
          <w:kern w:val="0"/>
          <w:sz w:val="32"/>
          <w:szCs w:val="32"/>
          <w:lang w:val="en-US" w:eastAsia="zh-CN"/>
        </w:rPr>
        <w:t>一是</w:t>
      </w:r>
      <w:r>
        <w:rPr>
          <w:rStyle w:val="14"/>
          <w:rFonts w:hint="eastAsia" w:ascii="仿宋_GB2312" w:hAnsi="仿宋_GB2312" w:eastAsia="仿宋_GB2312" w:cs="仿宋_GB2312"/>
          <w:b w:val="0"/>
          <w:bCs w:val="0"/>
          <w:kern w:val="0"/>
          <w:sz w:val="32"/>
          <w:szCs w:val="32"/>
          <w:lang w:val="en-US" w:eastAsia="zh-CN"/>
        </w:rPr>
        <w:t>进一步摸清“家底”，为精准“备课”。做好产业发展历程、现实现状、未来趋势、企业需求等阶段的资料收集，做到“心中有数、脑中有图、手中有招、脚下有路”，制定和提供吸引企业落户的专属优惠政策，以特色优势产业作为主攻方向，紧盯目标企业，通过首位支持、首位招商、首位服务，尽力满足产业发展和企业关心的相关要素保障。建立一个产业、一个重点目标企业、一个招商专案、一个专属优惠政策、一个专项跟进服务的工作机制，精准对接企业需求，主动吸引企业落户我州。</w:t>
      </w:r>
    </w:p>
    <w:p>
      <w:pPr>
        <w:spacing w:line="560" w:lineRule="exact"/>
        <w:ind w:firstLine="643"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bCs/>
          <w:kern w:val="0"/>
          <w:sz w:val="32"/>
          <w:szCs w:val="32"/>
          <w:lang w:val="en-US" w:eastAsia="zh-CN"/>
        </w:rPr>
        <w:t>二是</w:t>
      </w:r>
      <w:r>
        <w:rPr>
          <w:rStyle w:val="14"/>
          <w:rFonts w:hint="eastAsia" w:ascii="仿宋_GB2312" w:hAnsi="仿宋_GB2312" w:eastAsia="仿宋_GB2312" w:cs="仿宋_GB2312"/>
          <w:b w:val="0"/>
          <w:bCs w:val="0"/>
          <w:kern w:val="0"/>
          <w:sz w:val="32"/>
          <w:szCs w:val="32"/>
          <w:lang w:val="en-US" w:eastAsia="zh-CN"/>
        </w:rPr>
        <w:t>优化招商引资考核“指挥棒”。州级层面，主要以统筹工作部署，统配资源要素，优化产业布局，协调解决问题为主。在聚焦重点行业、重点园区、重点项目，协调解决重大政策保障问题的同时，加强对各县市产业布局定位的统筹指导，促进结构调整、布局定位和产业植入同步推进，避免县市间同质化竞争。县级层面，以招商引商为主，瞄准项目投资规模、技术水平、市场前景，集中精力发展主导产业，并与其他县市形成产业互补，形成1+N的产业发展体系，即一个工业园区一个主导产业+县内1-3个特色产业，按照“成长性最好、关联度最高”的要求，引入龙头企业、建设引领性项目。按照“核心企业-产业链-产业集群-产业基地”的发展思路，依托优强核心企业，围绕“建链、补链、强链”，吸引上下游关联企业进入，发挥产业集聚效应，推动产业集群发展。</w:t>
      </w:r>
    </w:p>
    <w:p>
      <w:pPr>
        <w:spacing w:line="560" w:lineRule="exact"/>
        <w:ind w:firstLine="640" w:firstLineChars="200"/>
        <w:rPr>
          <w:rStyle w:val="14"/>
          <w:rFonts w:hint="eastAsia" w:ascii="楷体_GB2312" w:hAnsi="楷体_GB2312" w:eastAsia="楷体_GB2312" w:cs="楷体_GB2312"/>
          <w:b w:val="0"/>
          <w:bCs w:val="0"/>
          <w:kern w:val="0"/>
          <w:sz w:val="32"/>
          <w:szCs w:val="32"/>
          <w:lang w:val="en-US" w:eastAsia="zh-CN"/>
        </w:rPr>
      </w:pPr>
      <w:r>
        <w:rPr>
          <w:rStyle w:val="14"/>
          <w:rFonts w:hint="eastAsia" w:ascii="楷体_GB2312" w:hAnsi="楷体_GB2312" w:eastAsia="楷体_GB2312" w:cs="楷体_GB2312"/>
          <w:b w:val="0"/>
          <w:bCs w:val="0"/>
          <w:kern w:val="0"/>
          <w:sz w:val="32"/>
          <w:szCs w:val="32"/>
          <w:lang w:val="en-US" w:eastAsia="zh-CN"/>
        </w:rPr>
        <w:t>（三）抢抓“政策机遇”寻求“质”的突破</w:t>
      </w:r>
    </w:p>
    <w:p>
      <w:pPr>
        <w:spacing w:line="560" w:lineRule="exact"/>
        <w:ind w:firstLine="640"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粤港澳大湾区规划发展纲要》对于珠三角制造业的定位，主要聚焦在发展高端制造业，在产业升级“腾笼换鸟”的过程中，受土地价格、厂房价格、产业空间、劳动成本、资源环境等因素限制，使得佛山市部分企业不得不搬离成本昂贵的区域，转向成本更低的地方寻求发展。建议我州各级政府进行专题研究加强政策引导，主动承接适宜我州发展的产业转移，加快融入东西部协作发展。</w:t>
      </w:r>
      <w:r>
        <w:rPr>
          <w:rStyle w:val="14"/>
          <w:rFonts w:hint="eastAsia" w:ascii="仿宋_GB2312" w:hAnsi="仿宋_GB2312" w:eastAsia="仿宋_GB2312" w:cs="仿宋_GB2312"/>
          <w:b/>
          <w:bCs/>
          <w:kern w:val="0"/>
          <w:sz w:val="32"/>
          <w:szCs w:val="32"/>
          <w:lang w:val="en-US" w:eastAsia="zh-CN"/>
        </w:rPr>
        <w:t>一是</w:t>
      </w:r>
      <w:r>
        <w:rPr>
          <w:rStyle w:val="14"/>
          <w:rFonts w:hint="eastAsia" w:ascii="仿宋_GB2312" w:hAnsi="仿宋_GB2312" w:eastAsia="仿宋_GB2312" w:cs="仿宋_GB2312"/>
          <w:b w:val="0"/>
          <w:bCs w:val="0"/>
          <w:kern w:val="0"/>
          <w:sz w:val="32"/>
          <w:szCs w:val="32"/>
          <w:lang w:val="en-US" w:eastAsia="zh-CN"/>
        </w:rPr>
        <w:t>因地制宜。不盲目承接。根据我州实际情况，有选择性地开展承接产业转移的招商，接收适合我州产业发展的企业。</w:t>
      </w:r>
      <w:r>
        <w:rPr>
          <w:rStyle w:val="14"/>
          <w:rFonts w:hint="eastAsia" w:ascii="仿宋_GB2312" w:hAnsi="仿宋_GB2312" w:eastAsia="仿宋_GB2312" w:cs="仿宋_GB2312"/>
          <w:b/>
          <w:bCs/>
          <w:kern w:val="0"/>
          <w:sz w:val="32"/>
          <w:szCs w:val="32"/>
          <w:lang w:val="en-US" w:eastAsia="zh-CN"/>
        </w:rPr>
        <w:t>二是</w:t>
      </w:r>
      <w:r>
        <w:rPr>
          <w:rStyle w:val="14"/>
          <w:rFonts w:hint="eastAsia" w:ascii="仿宋_GB2312" w:hAnsi="仿宋_GB2312" w:eastAsia="仿宋_GB2312" w:cs="仿宋_GB2312"/>
          <w:b w:val="0"/>
          <w:bCs w:val="0"/>
          <w:kern w:val="0"/>
          <w:sz w:val="32"/>
          <w:szCs w:val="32"/>
          <w:lang w:val="en-US" w:eastAsia="zh-CN"/>
        </w:rPr>
        <w:t>设立准入门槛。综合评估产业结构，开展自然资源条件、产业基础、配套能力、未来发展方向、经济效益、社会效益等一系列评估工作，提高准入门槛，鼓励优质企业进入。</w:t>
      </w:r>
      <w:r>
        <w:rPr>
          <w:rStyle w:val="14"/>
          <w:rFonts w:hint="eastAsia" w:ascii="仿宋_GB2312" w:hAnsi="仿宋_GB2312" w:eastAsia="仿宋_GB2312" w:cs="仿宋_GB2312"/>
          <w:b/>
          <w:bCs/>
          <w:kern w:val="0"/>
          <w:sz w:val="32"/>
          <w:szCs w:val="32"/>
          <w:lang w:val="en-US" w:eastAsia="zh-CN"/>
        </w:rPr>
        <w:t>三是</w:t>
      </w:r>
      <w:r>
        <w:rPr>
          <w:rStyle w:val="14"/>
          <w:rFonts w:hint="eastAsia" w:ascii="仿宋_GB2312" w:hAnsi="仿宋_GB2312" w:eastAsia="仿宋_GB2312" w:cs="仿宋_GB2312"/>
          <w:b w:val="0"/>
          <w:bCs w:val="0"/>
          <w:kern w:val="0"/>
          <w:sz w:val="32"/>
          <w:szCs w:val="32"/>
          <w:lang w:val="en-US" w:eastAsia="zh-CN"/>
        </w:rPr>
        <w:t>建立点对点合作。围绕所承接产业在我州现有的主要项目和主要企业，开展以企招企，让企业参与招商引资，寻找同行业或者同类型企业开展合作，建立点对点的合作模式，吸引承接地企业到我州设立公司和工厂。</w:t>
      </w:r>
    </w:p>
    <w:p>
      <w:pPr>
        <w:spacing w:line="560" w:lineRule="exact"/>
        <w:ind w:firstLine="640" w:firstLineChars="200"/>
        <w:rPr>
          <w:rStyle w:val="14"/>
          <w:rFonts w:hint="eastAsia" w:ascii="楷体_GB2312" w:hAnsi="楷体_GB2312" w:eastAsia="楷体_GB2312" w:cs="楷体_GB2312"/>
          <w:b w:val="0"/>
          <w:bCs w:val="0"/>
          <w:kern w:val="0"/>
          <w:sz w:val="32"/>
          <w:szCs w:val="32"/>
          <w:lang w:val="en-US" w:eastAsia="zh-CN"/>
        </w:rPr>
      </w:pPr>
      <w:r>
        <w:rPr>
          <w:rStyle w:val="14"/>
          <w:rFonts w:hint="eastAsia" w:ascii="楷体_GB2312" w:hAnsi="楷体_GB2312" w:eastAsia="楷体_GB2312" w:cs="楷体_GB2312"/>
          <w:b w:val="0"/>
          <w:bCs w:val="0"/>
          <w:kern w:val="0"/>
          <w:sz w:val="32"/>
          <w:szCs w:val="32"/>
          <w:lang w:val="en-US" w:eastAsia="zh-CN"/>
        </w:rPr>
        <w:t>（四）改善“营商环境”寻求“效”的突破</w:t>
      </w:r>
    </w:p>
    <w:p>
      <w:pPr>
        <w:spacing w:line="560" w:lineRule="exact"/>
        <w:ind w:firstLine="640" w:firstLineChars="200"/>
        <w:rPr>
          <w:rStyle w:val="14"/>
          <w:rFonts w:hint="eastAsia" w:ascii="仿宋_GB2312" w:hAnsi="仿宋_GB2312" w:eastAsia="仿宋_GB2312" w:cs="仿宋_GB2312"/>
          <w:b w:val="0"/>
          <w:bCs w:val="0"/>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切实提高行政审批效率，深入推进简政放权、放管结合、优化服务，切实落实为企业提供第一时间、第一责任人的“一门式”服务。把优化营商环境纳入行政效能监察，开展各项督导落实。强化政府履约承诺兑现，对招商引资企业涉述问题进行集中处理，切实提高机关办事效率，认真兑现政府承诺的投资条件和扶持政策，构建“亲”“清”的新型政商关系，确保招商引资实效。</w:t>
      </w:r>
    </w:p>
    <w:p>
      <w:pPr>
        <w:spacing w:line="560" w:lineRule="exact"/>
        <w:ind w:firstLine="640" w:firstLineChars="200"/>
        <w:rPr>
          <w:rStyle w:val="14"/>
          <w:rFonts w:hint="eastAsia" w:ascii="楷体_GB2312" w:hAnsi="楷体_GB2312" w:eastAsia="楷体_GB2312" w:cs="楷体_GB2312"/>
          <w:b w:val="0"/>
          <w:bCs w:val="0"/>
          <w:kern w:val="0"/>
          <w:sz w:val="32"/>
          <w:szCs w:val="32"/>
          <w:lang w:val="en-US" w:eastAsia="zh-CN"/>
        </w:rPr>
      </w:pPr>
      <w:r>
        <w:rPr>
          <w:rStyle w:val="14"/>
          <w:rFonts w:hint="eastAsia" w:ascii="楷体_GB2312" w:hAnsi="楷体_GB2312" w:eastAsia="楷体_GB2312" w:cs="楷体_GB2312"/>
          <w:b w:val="0"/>
          <w:bCs w:val="0"/>
          <w:kern w:val="0"/>
          <w:sz w:val="32"/>
          <w:szCs w:val="32"/>
          <w:lang w:val="en-US" w:eastAsia="zh-CN"/>
        </w:rPr>
        <w:t>（五）学习“先进经验”寻求“新”的突破</w:t>
      </w:r>
    </w:p>
    <w:p>
      <w:pPr>
        <w:spacing w:line="560" w:lineRule="exact"/>
        <w:ind w:firstLine="640" w:firstLineChars="200"/>
        <w:rPr>
          <w:rStyle w:val="14"/>
          <w:rFonts w:hint="eastAsia" w:ascii="黑体" w:hAnsi="黑体" w:eastAsia="黑体" w:cs="黑体"/>
          <w:b/>
          <w:bCs/>
          <w:kern w:val="0"/>
          <w:sz w:val="32"/>
          <w:szCs w:val="32"/>
          <w:lang w:val="en-US" w:eastAsia="zh-CN"/>
        </w:rPr>
      </w:pPr>
      <w:r>
        <w:rPr>
          <w:rStyle w:val="14"/>
          <w:rFonts w:hint="eastAsia" w:ascii="仿宋_GB2312" w:hAnsi="仿宋_GB2312" w:eastAsia="仿宋_GB2312" w:cs="仿宋_GB2312"/>
          <w:b w:val="0"/>
          <w:bCs w:val="0"/>
          <w:kern w:val="0"/>
          <w:sz w:val="32"/>
          <w:szCs w:val="32"/>
          <w:lang w:val="en-US" w:eastAsia="zh-CN"/>
        </w:rPr>
        <w:t>珠三角地区作为改革开放的先行之地，其产业发展是根据珠三角地区各地的特点而形成的，改革开放40年产业集群的发展积累了丰富的实践经验，其在工业地产和园区招商方面的成功经验和先进理念给了我们很多启示。如：佛山市英德市万洋众创城：专为中小微企业服务，按照“开发管理、产业招商、建筑施工、园区运营”的运营理念，建立高效的产业协作体系，为中小微企业提供产业集聚平台，配备专业招商团队，通过产业链招商模式，吸引上下游中小微制造业企业入园集聚，推动区域特色产业向产业集群发展。联合金融机构提供厂房按揭、融资租赁、仓单质押、流动贷款、股权投资等供应链金融服务，让中小微企业从此告别“融资难、融资贵”的难题。引进第三方专业机构开展人力资源、法律财税、管理咨询、行政审批代办等企业服务，帮助政府解决招商难、企业落地难的问题。建议主动谋划建设飞地园区，积极争取东西部协作帮扶支持，打造东西部协作的高级版本，结合本地资源、市场特点，盯住重点区域、重点产业、重点项目，以共建园区或飞地园区为平台，吸引更多企业项目落户我州。</w:t>
      </w:r>
    </w:p>
    <w:p>
      <w:pPr>
        <w:spacing w:line="560" w:lineRule="exact"/>
        <w:ind w:firstLine="643" w:firstLineChars="200"/>
        <w:rPr>
          <w:rStyle w:val="14"/>
          <w:rFonts w:hint="eastAsia" w:ascii="黑体" w:hAnsi="黑体" w:eastAsia="黑体" w:cs="黑体"/>
          <w:b/>
          <w:bCs/>
          <w:kern w:val="0"/>
          <w:sz w:val="32"/>
          <w:szCs w:val="32"/>
          <w:lang w:val="en-US" w:eastAsia="zh-CN"/>
        </w:rPr>
      </w:pPr>
    </w:p>
    <w:p>
      <w:pPr>
        <w:spacing w:line="560" w:lineRule="exact"/>
        <w:ind w:firstLine="643" w:firstLineChars="200"/>
        <w:rPr>
          <w:rStyle w:val="14"/>
          <w:rFonts w:hint="eastAsia" w:ascii="仿宋" w:hAnsi="仿宋" w:eastAsia="仿宋" w:cs="仿宋"/>
          <w:kern w:val="0"/>
          <w:sz w:val="32"/>
          <w:szCs w:val="32"/>
          <w:lang w:val="en-US" w:eastAsia="zh-CN"/>
        </w:rPr>
      </w:pPr>
      <w:r>
        <w:rPr>
          <w:rStyle w:val="14"/>
          <w:rFonts w:hint="eastAsia" w:ascii="黑体" w:hAnsi="黑体" w:eastAsia="黑体" w:cs="黑体"/>
          <w:b/>
          <w:bCs/>
          <w:kern w:val="0"/>
          <w:sz w:val="32"/>
          <w:szCs w:val="32"/>
          <w:lang w:val="en-US" w:eastAsia="zh-CN"/>
        </w:rPr>
        <w:t>注：</w:t>
      </w:r>
      <w:r>
        <w:rPr>
          <w:rStyle w:val="14"/>
          <w:rFonts w:hint="eastAsia" w:ascii="仿宋" w:hAnsi="仿宋" w:eastAsia="仿宋" w:cs="仿宋"/>
          <w:kern w:val="0"/>
          <w:sz w:val="32"/>
          <w:szCs w:val="32"/>
          <w:lang w:val="en-US" w:eastAsia="zh-CN"/>
        </w:rPr>
        <w:t>1、提案会办单位需将会办意见送主办单位，由主办单位连同《提案答复件》、《征询意见表》一并抄送州政协；（涉及目标考核）</w:t>
      </w:r>
    </w:p>
    <w:p>
      <w:pPr>
        <w:spacing w:line="560" w:lineRule="exact"/>
        <w:ind w:firstLine="1280" w:firstLineChars="400"/>
        <w:rPr>
          <w:rStyle w:val="14"/>
          <w:rFonts w:hint="default" w:ascii="仿宋" w:hAnsi="仿宋" w:eastAsia="仿宋" w:cs="仿宋"/>
          <w:kern w:val="0"/>
          <w:sz w:val="32"/>
          <w:szCs w:val="32"/>
          <w:lang w:val="en-US" w:eastAsia="zh-CN"/>
        </w:rPr>
      </w:pPr>
      <w:r>
        <w:rPr>
          <w:rStyle w:val="14"/>
          <w:rFonts w:hint="eastAsia" w:ascii="仿宋" w:hAnsi="仿宋" w:eastAsia="仿宋" w:cs="仿宋"/>
          <w:kern w:val="0"/>
          <w:sz w:val="32"/>
          <w:szCs w:val="32"/>
          <w:lang w:val="en-US" w:eastAsia="zh-CN"/>
        </w:rPr>
        <w:t>2、州政协联系方式：州政协办402室、传真8428882，协同账号：州政协办公室收发员（备注：XXX号提案答复件）。</w:t>
      </w:r>
    </w:p>
    <w:sectPr>
      <w:headerReference r:id="rId3" w:type="default"/>
      <w:footerReference r:id="rId4" w:type="default"/>
      <w:pgSz w:w="11906" w:h="16838"/>
      <w:pgMar w:top="2098" w:right="1474" w:bottom="1985"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98941"/>
      <w:docPartObj>
        <w:docPartGallery w:val="autotext"/>
      </w:docPartObj>
    </w:sdtPr>
    <w:sdtContent>
      <w:p>
        <w:pPr>
          <w:pStyle w:val="7"/>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rPr>
        <w:rStyle w:val="1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6911"/>
    <w:rsid w:val="00062089"/>
    <w:rsid w:val="002F6404"/>
    <w:rsid w:val="00372D70"/>
    <w:rsid w:val="004D0222"/>
    <w:rsid w:val="004E6BC5"/>
    <w:rsid w:val="00507FB8"/>
    <w:rsid w:val="00551F39"/>
    <w:rsid w:val="00554776"/>
    <w:rsid w:val="00654375"/>
    <w:rsid w:val="007055DB"/>
    <w:rsid w:val="007D1DFD"/>
    <w:rsid w:val="00840276"/>
    <w:rsid w:val="008A6967"/>
    <w:rsid w:val="008E32D7"/>
    <w:rsid w:val="008E5289"/>
    <w:rsid w:val="00A351EC"/>
    <w:rsid w:val="00A75BD7"/>
    <w:rsid w:val="00A94399"/>
    <w:rsid w:val="00A97C93"/>
    <w:rsid w:val="00C76ECC"/>
    <w:rsid w:val="00D123BF"/>
    <w:rsid w:val="00DD129A"/>
    <w:rsid w:val="00EA1493"/>
    <w:rsid w:val="00FB6911"/>
    <w:rsid w:val="00FF3F01"/>
    <w:rsid w:val="06503351"/>
    <w:rsid w:val="07D26AFC"/>
    <w:rsid w:val="0BC250ED"/>
    <w:rsid w:val="10B40BCC"/>
    <w:rsid w:val="118823F2"/>
    <w:rsid w:val="137B32C6"/>
    <w:rsid w:val="14846E37"/>
    <w:rsid w:val="18EC1E64"/>
    <w:rsid w:val="195E7F0D"/>
    <w:rsid w:val="1BAB45FA"/>
    <w:rsid w:val="20E366FE"/>
    <w:rsid w:val="21EA0B57"/>
    <w:rsid w:val="248D191F"/>
    <w:rsid w:val="29EB237C"/>
    <w:rsid w:val="2A2E2534"/>
    <w:rsid w:val="2F524655"/>
    <w:rsid w:val="2FD84B80"/>
    <w:rsid w:val="30B878C9"/>
    <w:rsid w:val="33552650"/>
    <w:rsid w:val="377737A4"/>
    <w:rsid w:val="38D60616"/>
    <w:rsid w:val="3A7B4D73"/>
    <w:rsid w:val="3F1A5C90"/>
    <w:rsid w:val="42F10C9F"/>
    <w:rsid w:val="48F75950"/>
    <w:rsid w:val="497C7186"/>
    <w:rsid w:val="4A196944"/>
    <w:rsid w:val="4E80682A"/>
    <w:rsid w:val="4F1E6C2C"/>
    <w:rsid w:val="4F6B5D70"/>
    <w:rsid w:val="507F065A"/>
    <w:rsid w:val="5236789E"/>
    <w:rsid w:val="53E915AA"/>
    <w:rsid w:val="543C4552"/>
    <w:rsid w:val="559F1A55"/>
    <w:rsid w:val="5A7C34BF"/>
    <w:rsid w:val="5AA17385"/>
    <w:rsid w:val="5B7C24C8"/>
    <w:rsid w:val="61895CCF"/>
    <w:rsid w:val="65BB23FC"/>
    <w:rsid w:val="66F35DD9"/>
    <w:rsid w:val="6854075C"/>
    <w:rsid w:val="69A37ABB"/>
    <w:rsid w:val="6A2F784C"/>
    <w:rsid w:val="6B07083C"/>
    <w:rsid w:val="6C00509B"/>
    <w:rsid w:val="760D0CD1"/>
    <w:rsid w:val="7C1F064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200" w:firstLineChars="200"/>
    </w:pPr>
  </w:style>
  <w:style w:type="paragraph" w:styleId="3">
    <w:name w:val="Body Text Indent"/>
    <w:basedOn w:val="1"/>
    <w:next w:val="4"/>
    <w:qFormat/>
    <w:uiPriority w:val="0"/>
    <w:pPr>
      <w:spacing w:after="120"/>
      <w:ind w:left="420" w:leftChars="200"/>
    </w:pPr>
  </w:style>
  <w:style w:type="paragraph" w:styleId="4">
    <w:name w:val="Body Text Indent 2"/>
    <w:basedOn w:val="1"/>
    <w:next w:val="5"/>
    <w:qFormat/>
    <w:uiPriority w:val="0"/>
    <w:pPr>
      <w:spacing w:after="120" w:line="480" w:lineRule="auto"/>
      <w:ind w:left="420" w:leftChars="200"/>
    </w:pPr>
    <w:rPr>
      <w:rFonts w:ascii="Times New Roman" w:hAnsi="Times New Roman"/>
    </w:rPr>
  </w:style>
  <w:style w:type="paragraph" w:styleId="5">
    <w:name w:val="Body Text Indent 3"/>
    <w:basedOn w:val="1"/>
    <w:qFormat/>
    <w:uiPriority w:val="0"/>
    <w:pPr>
      <w:ind w:left="200" w:leftChars="200"/>
    </w:pPr>
    <w:rPr>
      <w:rFonts w:ascii="Times New Roman" w:hAnsi="Times New Roman"/>
      <w:sz w:val="16"/>
    </w:rPr>
  </w:style>
  <w:style w:type="paragraph" w:styleId="6">
    <w:name w:val="table of authorities"/>
    <w:basedOn w:val="1"/>
    <w:next w:val="1"/>
    <w:qFormat/>
    <w:uiPriority w:val="0"/>
    <w:pPr>
      <w:ind w:left="420" w:leftChars="200"/>
    </w:pPr>
    <w:rPr>
      <w:szCs w:val="20"/>
    </w:rPr>
  </w:style>
  <w:style w:type="paragraph" w:styleId="7">
    <w:name w:val="footer"/>
    <w:basedOn w:val="1"/>
    <w:link w:val="24"/>
    <w:qFormat/>
    <w:uiPriority w:val="99"/>
    <w:pPr>
      <w:snapToGrid w:val="0"/>
      <w:jc w:val="left"/>
    </w:pPr>
    <w:rPr>
      <w:sz w:val="18"/>
      <w:szCs w:val="18"/>
    </w:rPr>
  </w:style>
  <w:style w:type="paragraph" w:styleId="8">
    <w:name w:val="header"/>
    <w:basedOn w:val="1"/>
    <w:qFormat/>
    <w:uiPriority w:val="0"/>
    <w:pPr>
      <w:pBdr>
        <w:bottom w:val="single" w:color="000000" w:sz="6" w:space="0"/>
      </w:pBdr>
      <w:snapToGrid w:val="0"/>
      <w:jc w:val="center"/>
    </w:pPr>
    <w:rPr>
      <w:sz w:val="18"/>
      <w:szCs w:val="18"/>
    </w:rPr>
  </w:style>
  <w:style w:type="paragraph" w:styleId="9">
    <w:name w:val="Normal (Web)"/>
    <w:basedOn w:val="1"/>
    <w:qFormat/>
    <w:uiPriority w:val="0"/>
    <w:pPr>
      <w:spacing w:beforeAutospacing="1" w:afterAutospacing="1"/>
      <w:jc w:val="left"/>
    </w:pPr>
    <w:rPr>
      <w:kern w:val="0"/>
      <w:sz w:val="24"/>
    </w:rPr>
  </w:style>
  <w:style w:type="character" w:styleId="12">
    <w:name w:val="Strong"/>
    <w:qFormat/>
    <w:uiPriority w:val="0"/>
    <w:rPr>
      <w:rFonts w:cs="Times New Roman"/>
      <w:b/>
      <w:bCs/>
    </w:rPr>
  </w:style>
  <w:style w:type="character" w:styleId="13">
    <w:name w:val="Hyperlink"/>
    <w:basedOn w:val="14"/>
    <w:semiHidden/>
    <w:qFormat/>
    <w:uiPriority w:val="0"/>
    <w:rPr>
      <w:color w:val="0000FF"/>
      <w:u w:val="single"/>
    </w:rPr>
  </w:style>
  <w:style w:type="character" w:customStyle="1" w:styleId="14">
    <w:name w:val="NormalCharacter"/>
    <w:semiHidden/>
    <w:qFormat/>
    <w:uiPriority w:val="0"/>
  </w:style>
  <w:style w:type="paragraph" w:customStyle="1" w:styleId="15">
    <w:name w:val="Heading1"/>
    <w:basedOn w:val="1"/>
    <w:link w:val="21"/>
    <w:qFormat/>
    <w:uiPriority w:val="0"/>
    <w:pPr>
      <w:spacing w:before="100" w:beforeAutospacing="1" w:after="100" w:afterAutospacing="1"/>
      <w:jc w:val="left"/>
    </w:pPr>
    <w:rPr>
      <w:rFonts w:ascii="宋体" w:hAnsi="宋体" w:cs="宋体"/>
      <w:b/>
      <w:bCs/>
      <w:kern w:val="36"/>
      <w:sz w:val="48"/>
      <w:szCs w:val="48"/>
    </w:rPr>
  </w:style>
  <w:style w:type="table" w:customStyle="1" w:styleId="16">
    <w:name w:val="TableNormal"/>
    <w:semiHidden/>
    <w:qFormat/>
    <w:uiPriority w:val="0"/>
    <w:tblPr>
      <w:tblCellMar>
        <w:top w:w="0" w:type="dxa"/>
        <w:left w:w="0" w:type="dxa"/>
        <w:bottom w:w="0" w:type="dxa"/>
        <w:right w:w="0" w:type="dxa"/>
      </w:tblCellMar>
    </w:tblPr>
  </w:style>
  <w:style w:type="paragraph" w:customStyle="1" w:styleId="17">
    <w:name w:val="Acetate"/>
    <w:basedOn w:val="1"/>
    <w:qFormat/>
    <w:uiPriority w:val="0"/>
    <w:rPr>
      <w:sz w:val="18"/>
      <w:szCs w:val="18"/>
    </w:rPr>
  </w:style>
  <w:style w:type="paragraph" w:customStyle="1" w:styleId="18">
    <w:name w:val="UserStyle_0"/>
    <w:basedOn w:val="1"/>
    <w:qFormat/>
    <w:uiPriority w:val="0"/>
    <w:pPr>
      <w:spacing w:before="100" w:beforeAutospacing="1" w:after="100" w:afterAutospacing="1"/>
      <w:jc w:val="left"/>
    </w:pPr>
    <w:rPr>
      <w:rFonts w:ascii="黑体" w:hAnsi="宋体" w:eastAsia="黑体" w:cs="宋体"/>
      <w:b/>
      <w:bCs/>
      <w:kern w:val="0"/>
      <w:sz w:val="36"/>
      <w:szCs w:val="36"/>
    </w:rPr>
  </w:style>
  <w:style w:type="paragraph" w:customStyle="1" w:styleId="19">
    <w:name w:val="UserStyle_1"/>
    <w:basedOn w:val="1"/>
    <w:qFormat/>
    <w:uiPriority w:val="0"/>
    <w:pPr>
      <w:spacing w:before="100" w:beforeAutospacing="1" w:after="100" w:afterAutospacing="1"/>
      <w:jc w:val="left"/>
    </w:pPr>
    <w:rPr>
      <w:rFonts w:ascii="黑体" w:hAnsi="宋体" w:eastAsia="黑体" w:cs="宋体"/>
      <w:b/>
      <w:bCs/>
      <w:kern w:val="0"/>
      <w:sz w:val="54"/>
      <w:szCs w:val="54"/>
    </w:rPr>
  </w:style>
  <w:style w:type="paragraph" w:customStyle="1" w:styleId="20">
    <w:name w:val="UserStyle_2"/>
    <w:basedOn w:val="1"/>
    <w:qFormat/>
    <w:uiPriority w:val="0"/>
    <w:pPr>
      <w:spacing w:before="100" w:beforeAutospacing="1" w:after="100" w:afterAutospacing="1"/>
      <w:jc w:val="left"/>
    </w:pPr>
    <w:rPr>
      <w:rFonts w:ascii="宋体" w:hAnsi="宋体"/>
      <w:kern w:val="0"/>
      <w:sz w:val="24"/>
    </w:rPr>
  </w:style>
  <w:style w:type="character" w:customStyle="1" w:styleId="21">
    <w:name w:val="UserStyle_3"/>
    <w:basedOn w:val="14"/>
    <w:link w:val="15"/>
    <w:qFormat/>
    <w:uiPriority w:val="0"/>
    <w:rPr>
      <w:rFonts w:ascii="宋体" w:hAnsi="宋体" w:cs="宋体"/>
      <w:b/>
      <w:bCs/>
      <w:kern w:val="36"/>
      <w:sz w:val="48"/>
      <w:szCs w:val="48"/>
    </w:rPr>
  </w:style>
  <w:style w:type="character" w:customStyle="1" w:styleId="22">
    <w:name w:val="UserStyle_4"/>
    <w:basedOn w:val="14"/>
    <w:qFormat/>
    <w:uiPriority w:val="0"/>
  </w:style>
  <w:style w:type="paragraph" w:customStyle="1" w:styleId="23">
    <w:name w:val="HtmlNormal"/>
    <w:basedOn w:val="1"/>
    <w:semiHidden/>
    <w:qFormat/>
    <w:uiPriority w:val="0"/>
    <w:pPr>
      <w:spacing w:before="100" w:beforeAutospacing="1" w:after="100" w:afterAutospacing="1"/>
      <w:jc w:val="left"/>
    </w:pPr>
    <w:rPr>
      <w:rFonts w:ascii="宋体" w:hAnsi="宋体"/>
      <w:kern w:val="0"/>
      <w:sz w:val="24"/>
    </w:rPr>
  </w:style>
  <w:style w:type="character" w:customStyle="1" w:styleId="24">
    <w:name w:val="页脚 Char"/>
    <w:basedOn w:val="11"/>
    <w:link w:val="7"/>
    <w:qFormat/>
    <w:uiPriority w:val="99"/>
    <w:rPr>
      <w:rFonts w:cstheme="minorBidi"/>
      <w:kern w:val="2"/>
      <w:sz w:val="18"/>
      <w:szCs w:val="18"/>
    </w:rPr>
  </w:style>
  <w:style w:type="paragraph" w:customStyle="1" w:styleId="25">
    <w:name w:val="正文-公1"/>
    <w:basedOn w:val="1"/>
    <w:qFormat/>
    <w:uiPriority w:val="99"/>
    <w:pPr>
      <w:ind w:firstLine="200" w:firstLineChars="200"/>
    </w:pPr>
    <w:rPr>
      <w:rFonts w:ascii="Calibri" w:hAnsi="Calibri"/>
    </w:rPr>
  </w:style>
  <w:style w:type="paragraph" w:customStyle="1" w:styleId="26">
    <w:name w:val="Body text|2"/>
    <w:basedOn w:val="1"/>
    <w:qFormat/>
    <w:uiPriority w:val="0"/>
    <w:pPr>
      <w:spacing w:after="300"/>
      <w:ind w:firstLine="740"/>
    </w:pPr>
    <w:rPr>
      <w:rFonts w:ascii="宋体" w:hAnsi="宋体" w:cs="宋体"/>
      <w:sz w:val="26"/>
      <w:szCs w:val="26"/>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307</Words>
  <Characters>1751</Characters>
  <Lines>14</Lines>
  <Paragraphs>4</Paragraphs>
  <TotalTime>35</TotalTime>
  <ScaleCrop>false</ScaleCrop>
  <LinksUpToDate>false</LinksUpToDate>
  <CharactersWithSpaces>2054</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2021-01-13T04:51:00Z</dcterms:created>
  <dc:creator>Administrator</dc:creator>
  <cp:lastModifiedBy>丘丘</cp:lastModifiedBy>
  <cp:lastPrinted>2022-01-08T09:16:07Z</cp:lastPrinted>
  <dcterms:modified xsi:type="dcterms:W3CDTF">2022-01-08T09:16:40Z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E5EFA6D4668D4153AE74CC506FE1268B</vt:lpwstr>
  </property>
</Properties>
</file>