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0"/>
        <w:spacing w:before="0" w:beforeAutospacing="0" w:after="0" w:afterAutospacing="0" w:line="600" w:lineRule="exact"/>
        <w:jc w:val="center"/>
        <w:rPr>
          <w:rStyle w:val="14"/>
          <w:rFonts w:ascii="黑体" w:eastAsia="黑体"/>
          <w:sz w:val="44"/>
          <w:szCs w:val="44"/>
        </w:rPr>
      </w:pPr>
      <w:r>
        <w:rPr>
          <w:rStyle w:val="12"/>
          <w:rFonts w:ascii="黑体" w:eastAsia="黑体" w:cs="宋体"/>
          <w:sz w:val="44"/>
          <w:szCs w:val="44"/>
        </w:rPr>
        <w:t>中国人民政治协商会议</w:t>
      </w:r>
    </w:p>
    <w:p>
      <w:pPr>
        <w:pStyle w:val="18"/>
        <w:spacing w:before="0" w:beforeAutospacing="0" w:after="0" w:afterAutospacing="0" w:line="600" w:lineRule="exact"/>
        <w:jc w:val="center"/>
        <w:rPr>
          <w:rStyle w:val="14"/>
          <w:rFonts w:hint="eastAsia"/>
          <w:sz w:val="44"/>
          <w:szCs w:val="44"/>
        </w:rPr>
      </w:pPr>
      <w:r>
        <w:rPr>
          <w:rStyle w:val="14"/>
          <w:sz w:val="44"/>
          <w:szCs w:val="44"/>
        </w:rPr>
        <w:t>黔东南苗族侗族自治州委员会</w:t>
      </w:r>
    </w:p>
    <w:p>
      <w:pPr>
        <w:pStyle w:val="18"/>
        <w:spacing w:before="0" w:beforeAutospacing="0" w:after="0" w:afterAutospacing="0" w:line="600" w:lineRule="exact"/>
        <w:jc w:val="center"/>
        <w:rPr>
          <w:rStyle w:val="14"/>
          <w:rFonts w:hint="eastAsia"/>
          <w:sz w:val="44"/>
          <w:szCs w:val="44"/>
        </w:rPr>
      </w:pPr>
      <w:r>
        <w:rPr>
          <w:rStyle w:val="14"/>
          <w:sz w:val="44"/>
          <w:szCs w:val="44"/>
        </w:rPr>
        <w:t>提</w:t>
      </w:r>
      <w:r>
        <w:rPr>
          <w:rStyle w:val="14"/>
          <w:rFonts w:hint="eastAsia"/>
          <w:sz w:val="44"/>
          <w:szCs w:val="44"/>
        </w:rPr>
        <w:t xml:space="preserve">   </w:t>
      </w:r>
      <w:r>
        <w:rPr>
          <w:rStyle w:val="14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4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4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4"/>
          <w:rFonts w:ascii="宋体" w:hAnsi="宋体"/>
          <w:kern w:val="0"/>
          <w:sz w:val="24"/>
        </w:rPr>
      </w:pPr>
      <w:r>
        <w:rPr>
          <w:rStyle w:val="14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4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4"/>
          <w:rFonts w:ascii="宋体" w:hAnsi="宋体"/>
          <w:kern w:val="0"/>
          <w:sz w:val="24"/>
        </w:rPr>
        <w:t>第十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4"/>
          <w:rFonts w:ascii="宋体" w:hAnsi="宋体"/>
          <w:kern w:val="0"/>
          <w:sz w:val="24"/>
        </w:rPr>
        <w:t>届第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4"/>
          <w:rFonts w:ascii="宋体" w:hAnsi="宋体"/>
          <w:kern w:val="0"/>
          <w:sz w:val="24"/>
        </w:rPr>
        <w:t>次会议　       　第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>002</w:t>
      </w:r>
      <w:r>
        <w:rPr>
          <w:rStyle w:val="14"/>
          <w:rFonts w:ascii="宋体" w:hAnsi="宋体"/>
          <w:kern w:val="0"/>
          <w:sz w:val="24"/>
        </w:rPr>
        <w:t xml:space="preserve">号　    </w:t>
      </w:r>
      <w:r>
        <w:rPr>
          <w:rStyle w:val="14"/>
          <w:rFonts w:hint="eastAsia" w:ascii="宋体" w:hAnsi="宋体"/>
          <w:kern w:val="0"/>
          <w:sz w:val="24"/>
        </w:rPr>
        <w:t xml:space="preserve">    </w:t>
      </w:r>
      <w:r>
        <w:rPr>
          <w:rStyle w:val="14"/>
          <w:rFonts w:hint="eastAsia" w:ascii="宋体" w:hAnsi="宋体"/>
          <w:kern w:val="0"/>
          <w:sz w:val="24"/>
          <w:lang w:val="en-US" w:eastAsia="zh-CN"/>
        </w:rPr>
        <w:t xml:space="preserve"> 类别：政治建设类     </w:t>
      </w:r>
    </w:p>
    <w:p>
      <w:pPr>
        <w:spacing w:line="320" w:lineRule="exact"/>
        <w:jc w:val="left"/>
        <w:rPr>
          <w:rStyle w:val="14"/>
          <w:rFonts w:ascii="宋体" w:hAnsi="宋体"/>
          <w:kern w:val="0"/>
          <w:sz w:val="24"/>
        </w:rPr>
      </w:pPr>
      <w:r>
        <w:rPr>
          <w:rStyle w:val="14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0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4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kern w:val="0"/>
                <w:sz w:val="24"/>
              </w:rPr>
              <w:t>关于加快黔东南州乡村人才振兴的建议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4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主办：州乡村振兴局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 xml:space="preserve">    会办：州教育局、州人社局、州科技局、州委组织部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ascii="黑体" w:hAnsi="宋体" w:eastAsia="黑体"/>
                <w:kern w:val="0"/>
                <w:sz w:val="24"/>
              </w:rPr>
            </w:pP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4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4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4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4"/>
                <w:rFonts w:ascii="宋体" w:hAnsi="宋体"/>
                <w:kern w:val="0"/>
                <w:sz w:val="24"/>
              </w:rPr>
            </w:pPr>
            <w:r>
              <w:rPr>
                <w:rStyle w:val="14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民建黔东南州委</w:t>
            </w:r>
          </w:p>
        </w:tc>
        <w:tc>
          <w:tcPr>
            <w:tcW w:w="3872" w:type="dxa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凯里市文化北路15号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 xml:space="preserve"> 556000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</w:rPr>
              <w:t>2107329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4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4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州委办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秘书五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科：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4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4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4"/>
          <w:rFonts w:ascii="宋体" w:hAnsi="宋体"/>
          <w:kern w:val="0"/>
          <w:sz w:val="24"/>
        </w:rPr>
      </w:pPr>
      <w:r>
        <w:rPr>
          <w:rStyle w:val="14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4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4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4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color w:val="191919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乡村振兴，人才为先。乡村的产业要靠人才来大干，文化要靠人才来兴起，生态要靠人才来美化，组织要靠人才来加强。乡村振兴，关键在人才，人才振兴是实施乡村振兴战略的重要推力，是落实产业兴旺、生态宜居、乡风文明、治理有效、生活富裕总要求的有力保障。</w:t>
      </w:r>
      <w:r>
        <w:rPr>
          <w:rFonts w:hint="eastAsia" w:ascii="仿宋_GB2312" w:hAnsi="仿宋_GB2312" w:eastAsia="仿宋_GB2312" w:cs="仿宋_GB2312"/>
          <w:b/>
          <w:color w:val="191919"/>
          <w:sz w:val="32"/>
          <w:szCs w:val="32"/>
          <w:shd w:val="clear" w:color="auto" w:fill="FFFFFF"/>
        </w:rPr>
        <w:t>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191919"/>
          <w:sz w:val="32"/>
          <w:szCs w:val="32"/>
          <w:shd w:val="clear" w:color="auto" w:fill="FFFFFF"/>
        </w:rPr>
        <w:t>一、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乡村人才振兴面临的困境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实施乡村振兴战略，必须创新乡村治理体系，走乡村善治之路，迫切需要有效发掘基层组织带头人、产业兴旺领路人。但目前各类人才无论是在规模上，还是在综合素质上，与乡村振兴的内在需求有较大差距，成为制约乡村发展的短板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78" w:firstLineChars="18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shd w:val="clear" w:color="auto" w:fill="FFFFFF"/>
        </w:rPr>
        <w:t>（一）乡村人才数量不足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79" w:firstLineChars="18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各类人才绝大部分只参加过短期的技术培训，没有接受过中专以上的系统教育，农业农村实用人才队伍中90%没有获得专业技术职务评定，现有人才队伍规模和素质难以带动乡村振兴全局。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shd w:val="clear" w:color="auto" w:fill="FFFFFF"/>
        </w:rPr>
        <w:t>（二）乡村人才流失严重，入不抵出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79" w:firstLineChars="18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2020年末，黔东南州户籍人口484.73万人，常住人口355.20万人，其中农村劳动力199.66万人，在外就业121.02万人（其中跨省就业79.8万人）。跨省就业主要为广东、浙江、福建和江苏等地，占跨省就业人数的70%以上。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主要原因是农业农村吸引力不强，编制财力有限，创业创新环境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差，项目资金、风险保障、技术服务等配套支撑不足。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81" w:firstLineChars="181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shd w:val="clear" w:color="auto" w:fill="FFFFFF"/>
        </w:rPr>
        <w:t>（三）乡村人才培养与社会发展需要脱节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过去多年对乡村人才的培养、培训集中在种养技术、经营管理等方面。现在农村新产业、新业态层出不穷，三产加速融合，生产经营模式不断创新的大背景下，培训内容的更新跟不上发展需求的变化，乡村人才的培养滞后于乡村经济社会发展的需要。主要原因是乡村人才的培养以政府部门为主，各部门之间的培养培训工作交叉重叠情况较多，缺乏统筹协调，培养培训计划的生成机制偏重于规划安排、按部就班，没有及时根据发展变化进行灵活调整，市场机制的利用和社会力量的调动不充分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78" w:firstLineChars="18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shd w:val="clear" w:color="auto" w:fill="FFFFFF"/>
        </w:rPr>
        <w:t>（四）激励保障机制不健全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579" w:firstLineChars="181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乡村人才队伍建设在分配、激励、保障制度方面不完善，人才待遇与业绩、贡献不相称，人才价值体现不充分。没有把解决农业生产经营中的实际问题、对农业产业和社会事业发展的实际贡献、农民群众的满意程度作为人才评价认定考核的主要依据和重要标准，对调动人才积极性的激励保障机制重视程度不够，激励方式较少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、加快乡村人才振兴的几点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建议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实施乡村振兴，乡村人才振兴是根本。全面推进乡村振兴，必须立足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州</w:t>
      </w:r>
      <w:r>
        <w:rPr>
          <w:rFonts w:hint="eastAsia" w:ascii="仿宋_GB2312" w:hAnsi="仿宋_GB2312" w:eastAsia="仿宋_GB2312" w:cs="仿宋_GB2312"/>
          <w:sz w:val="32"/>
          <w:szCs w:val="32"/>
        </w:rPr>
        <w:t>情、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县情、</w:t>
      </w:r>
      <w:r>
        <w:rPr>
          <w:rFonts w:hint="eastAsia" w:ascii="仿宋_GB2312" w:hAnsi="仿宋_GB2312" w:eastAsia="仿宋_GB2312" w:cs="仿宋_GB2312"/>
          <w:sz w:val="32"/>
          <w:szCs w:val="32"/>
        </w:rPr>
        <w:t>乡情、村情，坚持问题导向，加强乡村人才队伍建设，坚持党管人才原则，培养造就“懂农业、爱农村、爱农民”的乡村人才队伍，补齐乡村人才短板。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一是大力发展乡村教育事业。</w:t>
      </w:r>
      <w:r>
        <w:rPr>
          <w:rFonts w:hint="eastAsia" w:ascii="仿宋_GB2312" w:hAnsi="仿宋_GB2312" w:eastAsia="仿宋_GB2312" w:cs="仿宋_GB2312"/>
          <w:sz w:val="32"/>
          <w:szCs w:val="32"/>
        </w:rPr>
        <w:t>要明确乡村教育目标定位和价值取向。乡村教育要切实扭转“离农”倾向，倡导知农、为农、爱农教育，着力培养和努力增强学生对农业、农村、农民的情感。建议农业院校、各级职业学校要紧紧围绕实施乡村人才振兴战略的要求，进一步优化学科专业结构，培养一批有技术、懂农业、爱农村、爱农民的农科专业人才。同时，依托自身学科优势，紧密结合乡村产业振兴要求，积极推进校地、校企等多种形式合作，构建以协同创新为特征的产学研用组织模式，以此带动农业科研人才队伍整体实力提升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二是培育新型职业农民，促进传统农民向现代职业农民转型。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建立职业农民制度，培养一批农业经纪人、职业经理人和乡村工匠，建设知识型、技能型、创新型农业劳动者大军；培训区域要着重向贫困地区倾斜，培训内容着重向农业发展理念、绿色发展、农业文化、创业创新和农场管理等重要主题集中，突出培训内容的时代性、精准度和实效性。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三是优化乡村创新创业环境，引导各类科技人才到乡村奉献才智。</w:t>
      </w:r>
      <w:r>
        <w:rPr>
          <w:rFonts w:hint="eastAsia" w:ascii="仿宋_GB2312" w:hAnsi="仿宋_GB2312" w:eastAsia="仿宋_GB2312" w:cs="仿宋_GB2312"/>
          <w:sz w:val="32"/>
          <w:szCs w:val="32"/>
        </w:rPr>
        <w:t>第一，优化制度供给。毛泽东主席说过：农村是广阔的天地，那里是大有作为的。为解除回乡下乡人才后顾之忧，更好吸引城市企业家、干部、科研技术人员、大专院校毕业生、城市居民和回乡创业者到乡村创新创业，应实行城乡通用的就业、教育、医疗和养老等公共服务制度，逐步实现城乡基本公共服务均等化，保证各类人才创新创业乐业。第二，完善政策措施。制定乡村人才振兴规划，将乡村人才规划与乡村发展规划、建设规划、治理规划同步规划，注重多规合一，并将项目、资金与人才打捆，确保项目、资金、人才同步落地，同步实施，实现项目链、资金链、人才链的无缝对接和深度融合。第三，建立健全乡村人才干事创业的激励机制。要遵循乡村人才的职业特点和成长规律，注重根据不同职业、专业、岗位的差别，探索建立以产业发展贡献为导向的分层分类评价标准和激励机制，引导乡村人才进行接地气的研究，把论文写在大地上，把科研成果应用在乡村振兴的伟大事业中，在服务乡村振兴中实现自我价值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4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4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4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4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4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rPr>
        <w:rStyle w:val="1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6503351"/>
    <w:rsid w:val="07D26AFC"/>
    <w:rsid w:val="10B40BCC"/>
    <w:rsid w:val="118823F2"/>
    <w:rsid w:val="18EC1E64"/>
    <w:rsid w:val="1BAB45FA"/>
    <w:rsid w:val="1EC00214"/>
    <w:rsid w:val="21EA0B57"/>
    <w:rsid w:val="29EB237C"/>
    <w:rsid w:val="2FD84B80"/>
    <w:rsid w:val="30B878C9"/>
    <w:rsid w:val="33552650"/>
    <w:rsid w:val="377737A4"/>
    <w:rsid w:val="38D60616"/>
    <w:rsid w:val="3A7B4D73"/>
    <w:rsid w:val="3F1A5C90"/>
    <w:rsid w:val="41CE1076"/>
    <w:rsid w:val="42F10C9F"/>
    <w:rsid w:val="4A196944"/>
    <w:rsid w:val="4F6B5D70"/>
    <w:rsid w:val="507F065A"/>
    <w:rsid w:val="5236789E"/>
    <w:rsid w:val="559F1A55"/>
    <w:rsid w:val="5A7C34BF"/>
    <w:rsid w:val="5AA17385"/>
    <w:rsid w:val="5B7C24C8"/>
    <w:rsid w:val="5E9F6D2C"/>
    <w:rsid w:val="61895CCF"/>
    <w:rsid w:val="63DE7825"/>
    <w:rsid w:val="640D7930"/>
    <w:rsid w:val="66F35DD9"/>
    <w:rsid w:val="6854075C"/>
    <w:rsid w:val="69A37ABB"/>
    <w:rsid w:val="77A9726D"/>
    <w:rsid w:val="7C1F06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left="0" w:leftChars="0"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next w:val="5"/>
    <w:qFormat/>
    <w:uiPriority w:val="0"/>
    <w:pPr>
      <w:spacing w:after="120" w:line="480" w:lineRule="auto"/>
      <w:ind w:left="420" w:leftChars="200"/>
    </w:pPr>
    <w:rPr>
      <w:rFonts w:ascii="Times New Roman" w:hAnsi="Times New Roman"/>
    </w:rPr>
  </w:style>
  <w:style w:type="paragraph" w:styleId="5">
    <w:name w:val="Body Text Indent 3"/>
    <w:basedOn w:val="1"/>
    <w:qFormat/>
    <w:uiPriority w:val="0"/>
    <w:pPr>
      <w:ind w:left="200" w:leftChars="200"/>
    </w:pPr>
    <w:rPr>
      <w:rFonts w:ascii="Times New Roman" w:hAnsi="Times New Roman"/>
      <w:sz w:val="16"/>
    </w:rPr>
  </w:style>
  <w:style w:type="paragraph" w:styleId="6">
    <w:name w:val="table of authorities"/>
    <w:basedOn w:val="1"/>
    <w:next w:val="1"/>
    <w:semiHidden/>
    <w:unhideWhenUsed/>
    <w:qFormat/>
    <w:uiPriority w:val="99"/>
    <w:pPr>
      <w:ind w:left="420" w:leftChars="200"/>
    </w:pPr>
  </w:style>
  <w:style w:type="paragraph" w:styleId="7">
    <w:name w:val="footer"/>
    <w:basedOn w:val="1"/>
    <w:link w:val="24"/>
    <w:qFormat/>
    <w:uiPriority w:val="99"/>
    <w:pPr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2">
    <w:name w:val="Strong"/>
    <w:qFormat/>
    <w:uiPriority w:val="0"/>
    <w:rPr>
      <w:rFonts w:cs="Times New Roman"/>
      <w:b/>
      <w:bCs/>
    </w:rPr>
  </w:style>
  <w:style w:type="character" w:styleId="13">
    <w:name w:val="Hyperlink"/>
    <w:basedOn w:val="14"/>
    <w:semiHidden/>
    <w:qFormat/>
    <w:uiPriority w:val="0"/>
    <w:rPr>
      <w:color w:val="0000FF"/>
      <w:u w:val="single"/>
    </w:rPr>
  </w:style>
  <w:style w:type="character" w:customStyle="1" w:styleId="14">
    <w:name w:val="NormalCharacter"/>
    <w:semiHidden/>
    <w:qFormat/>
    <w:uiPriority w:val="0"/>
  </w:style>
  <w:style w:type="paragraph" w:customStyle="1" w:styleId="15">
    <w:name w:val="Heading1"/>
    <w:basedOn w:val="1"/>
    <w:link w:val="21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6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7">
    <w:name w:val="Acetate"/>
    <w:basedOn w:val="1"/>
    <w:qFormat/>
    <w:uiPriority w:val="0"/>
    <w:rPr>
      <w:sz w:val="18"/>
      <w:szCs w:val="18"/>
    </w:rPr>
  </w:style>
  <w:style w:type="paragraph" w:customStyle="1" w:styleId="18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9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20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1">
    <w:name w:val="UserStyle_3"/>
    <w:basedOn w:val="14"/>
    <w:link w:val="15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22">
    <w:name w:val="UserStyle_4"/>
    <w:basedOn w:val="14"/>
    <w:qFormat/>
    <w:uiPriority w:val="0"/>
  </w:style>
  <w:style w:type="paragraph" w:customStyle="1" w:styleId="23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4">
    <w:name w:val="页脚 Char"/>
    <w:basedOn w:val="11"/>
    <w:link w:val="7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5</Pages>
  <Words>2107</Words>
  <Characters>2179</Characters>
  <Lines>14</Lines>
  <Paragraphs>4</Paragraphs>
  <TotalTime>1</TotalTime>
  <ScaleCrop>false</ScaleCrop>
  <LinksUpToDate>false</LinksUpToDate>
  <CharactersWithSpaces>2214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2021-02-26T02:55:00Z</cp:lastPrinted>
  <dcterms:modified xsi:type="dcterms:W3CDTF">2022-03-29T03:09:19Z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BF02C0F382BA4932AE676DF8DF1CE824</vt:lpwstr>
  </property>
</Properties>
</file>