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4"/>
        <w:spacing w:before="0" w:beforeAutospacing="0" w:after="0" w:afterAutospacing="0" w:line="600" w:lineRule="exact"/>
        <w:jc w:val="center"/>
        <w:rPr>
          <w:rStyle w:val="18"/>
          <w:rFonts w:ascii="黑体" w:eastAsia="黑体"/>
          <w:sz w:val="44"/>
          <w:szCs w:val="44"/>
        </w:rPr>
      </w:pPr>
      <w:r>
        <w:rPr>
          <w:rStyle w:val="16"/>
          <w:rFonts w:ascii="黑体" w:eastAsia="黑体" w:cs="宋体"/>
          <w:sz w:val="44"/>
          <w:szCs w:val="44"/>
        </w:rPr>
        <w:t>中国人民政治协商会议</w:t>
      </w:r>
    </w:p>
    <w:p>
      <w:pPr>
        <w:pStyle w:val="22"/>
        <w:spacing w:before="0" w:beforeAutospacing="0" w:after="0" w:afterAutospacing="0" w:line="600" w:lineRule="exact"/>
        <w:jc w:val="center"/>
        <w:rPr>
          <w:rStyle w:val="18"/>
          <w:rFonts w:hint="eastAsia"/>
          <w:sz w:val="44"/>
          <w:szCs w:val="44"/>
        </w:rPr>
      </w:pPr>
      <w:r>
        <w:rPr>
          <w:rStyle w:val="18"/>
          <w:sz w:val="44"/>
          <w:szCs w:val="44"/>
        </w:rPr>
        <w:t>黔东南苗族侗族自治州委员会</w:t>
      </w:r>
    </w:p>
    <w:p>
      <w:pPr>
        <w:pStyle w:val="22"/>
        <w:spacing w:before="0" w:beforeAutospacing="0" w:after="0" w:afterAutospacing="0" w:line="600" w:lineRule="exact"/>
        <w:jc w:val="center"/>
        <w:rPr>
          <w:rStyle w:val="18"/>
          <w:rFonts w:hint="eastAsia"/>
          <w:sz w:val="44"/>
          <w:szCs w:val="44"/>
        </w:rPr>
      </w:pPr>
      <w:r>
        <w:rPr>
          <w:rStyle w:val="18"/>
          <w:sz w:val="44"/>
          <w:szCs w:val="44"/>
        </w:rPr>
        <w:t>提</w:t>
      </w:r>
      <w:r>
        <w:rPr>
          <w:rStyle w:val="18"/>
          <w:rFonts w:hint="eastAsia"/>
          <w:sz w:val="44"/>
          <w:szCs w:val="44"/>
        </w:rPr>
        <w:t xml:space="preserve">   </w:t>
      </w:r>
      <w:r>
        <w:rPr>
          <w:rStyle w:val="18"/>
          <w:sz w:val="44"/>
          <w:szCs w:val="44"/>
        </w:rPr>
        <w:t>案</w:t>
      </w:r>
    </w:p>
    <w:p>
      <w:pPr>
        <w:spacing w:line="320" w:lineRule="exact"/>
        <w:jc w:val="center"/>
        <w:textAlignment w:val="top"/>
        <w:rPr>
          <w:rStyle w:val="18"/>
          <w:rFonts w:hint="eastAsia" w:ascii="宋体" w:hAnsi="宋体"/>
          <w:kern w:val="0"/>
          <w:sz w:val="24"/>
        </w:rPr>
      </w:pPr>
    </w:p>
    <w:p>
      <w:pPr>
        <w:spacing w:line="320" w:lineRule="exact"/>
        <w:jc w:val="center"/>
        <w:textAlignment w:val="top"/>
        <w:rPr>
          <w:rStyle w:val="18"/>
          <w:rFonts w:hint="eastAsia" w:ascii="宋体" w:hAnsi="宋体"/>
          <w:kern w:val="0"/>
          <w:sz w:val="24"/>
        </w:rPr>
      </w:pPr>
    </w:p>
    <w:p>
      <w:pPr>
        <w:spacing w:line="760" w:lineRule="exact"/>
        <w:jc w:val="both"/>
        <w:textAlignment w:val="top"/>
        <w:rPr>
          <w:rStyle w:val="18"/>
          <w:rFonts w:ascii="宋体" w:hAnsi="宋体"/>
          <w:kern w:val="0"/>
          <w:sz w:val="24"/>
        </w:rPr>
      </w:pPr>
      <w:r>
        <w:rPr>
          <w:rStyle w:val="18"/>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8"/>
          <w:rFonts w:hint="default" w:ascii="宋体" w:hAnsi="宋体" w:eastAsia="宋体"/>
          <w:kern w:val="0"/>
          <w:sz w:val="24"/>
          <w:lang w:val="en-US" w:eastAsia="zh-CN"/>
        </w:rPr>
      </w:pPr>
      <w:r>
        <w:rPr>
          <w:rStyle w:val="18"/>
          <w:rFonts w:ascii="宋体" w:hAnsi="宋体"/>
          <w:kern w:val="0"/>
          <w:sz w:val="24"/>
        </w:rPr>
        <w:t>第十</w:t>
      </w:r>
      <w:r>
        <w:rPr>
          <w:rStyle w:val="18"/>
          <w:rFonts w:hint="eastAsia" w:ascii="宋体" w:hAnsi="宋体"/>
          <w:kern w:val="0"/>
          <w:sz w:val="24"/>
          <w:lang w:val="en-US" w:eastAsia="zh-CN"/>
        </w:rPr>
        <w:t>三</w:t>
      </w:r>
      <w:r>
        <w:rPr>
          <w:rStyle w:val="18"/>
          <w:rFonts w:ascii="宋体" w:hAnsi="宋体"/>
          <w:kern w:val="0"/>
          <w:sz w:val="24"/>
        </w:rPr>
        <w:t>届第</w:t>
      </w:r>
      <w:r>
        <w:rPr>
          <w:rStyle w:val="18"/>
          <w:rFonts w:hint="eastAsia" w:ascii="宋体" w:hAnsi="宋体"/>
          <w:kern w:val="0"/>
          <w:sz w:val="24"/>
          <w:lang w:val="en-US" w:eastAsia="zh-CN"/>
        </w:rPr>
        <w:t>一</w:t>
      </w:r>
      <w:r>
        <w:rPr>
          <w:rStyle w:val="18"/>
          <w:rFonts w:ascii="宋体" w:hAnsi="宋体"/>
          <w:kern w:val="0"/>
          <w:sz w:val="24"/>
        </w:rPr>
        <w:t>次会议　       　第</w:t>
      </w:r>
      <w:r>
        <w:rPr>
          <w:rStyle w:val="18"/>
          <w:rFonts w:hint="eastAsia" w:ascii="宋体" w:hAnsi="宋体"/>
          <w:kern w:val="0"/>
          <w:sz w:val="24"/>
          <w:lang w:val="en-US"/>
        </w:rPr>
        <w:t>151</w:t>
      </w:r>
      <w:r>
        <w:rPr>
          <w:rStyle w:val="18"/>
          <w:rFonts w:ascii="宋体" w:hAnsi="宋体"/>
          <w:kern w:val="0"/>
          <w:sz w:val="24"/>
        </w:rPr>
        <w:t xml:space="preserve">号　    </w:t>
      </w:r>
      <w:r>
        <w:rPr>
          <w:rStyle w:val="18"/>
          <w:rFonts w:hint="eastAsia" w:ascii="宋体" w:hAnsi="宋体"/>
          <w:kern w:val="0"/>
          <w:sz w:val="24"/>
        </w:rPr>
        <w:t xml:space="preserve">    </w:t>
      </w:r>
      <w:r>
        <w:rPr>
          <w:rStyle w:val="18"/>
          <w:rFonts w:hint="eastAsia" w:ascii="宋体" w:hAnsi="宋体"/>
          <w:kern w:val="0"/>
          <w:sz w:val="24"/>
          <w:lang w:val="en-US" w:eastAsia="zh-CN"/>
        </w:rPr>
        <w:t xml:space="preserve"> 类别：社会建设类     </w:t>
      </w:r>
    </w:p>
    <w:p>
      <w:pPr>
        <w:spacing w:line="320" w:lineRule="exact"/>
        <w:jc w:val="left"/>
        <w:rPr>
          <w:rStyle w:val="18"/>
          <w:rFonts w:ascii="宋体" w:hAnsi="宋体"/>
          <w:kern w:val="0"/>
          <w:sz w:val="24"/>
        </w:rPr>
      </w:pPr>
      <w:r>
        <w:rPr>
          <w:rStyle w:val="18"/>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14"/>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8"/>
                <w:rFonts w:ascii="宋体" w:hAnsi="宋体"/>
                <w:kern w:val="0"/>
                <w:sz w:val="24"/>
              </w:rPr>
            </w:pPr>
            <w:r>
              <w:rPr>
                <w:rStyle w:val="18"/>
                <w:rFonts w:ascii="黑体" w:hAnsi="宋体" w:eastAsia="黑体" w:cs="宋体"/>
                <w:b/>
                <w:bCs/>
                <w:kern w:val="0"/>
                <w:sz w:val="24"/>
              </w:rPr>
              <w:t>案</w:t>
            </w:r>
            <w:r>
              <w:rPr>
                <w:rStyle w:val="18"/>
                <w:rFonts w:ascii="宋体" w:hAnsi="宋体" w:eastAsia="黑体" w:cs="宋体"/>
                <w:b/>
                <w:bCs/>
                <w:kern w:val="0"/>
                <w:sz w:val="24"/>
              </w:rPr>
              <w:t>  </w:t>
            </w:r>
            <w:r>
              <w:rPr>
                <w:rStyle w:val="18"/>
                <w:rFonts w:ascii="黑体" w:hAnsi="宋体" w:eastAsia="黑体" w:cs="宋体"/>
                <w:b/>
                <w:bCs/>
                <w:kern w:val="0"/>
                <w:sz w:val="24"/>
              </w:rPr>
              <w:t>由</w:t>
            </w:r>
            <w:r>
              <w:rPr>
                <w:rStyle w:val="18"/>
                <w:rFonts w:ascii="宋体" w:hAnsi="宋体" w:cs="宋体"/>
                <w:b/>
                <w:bCs/>
                <w:kern w:val="0"/>
                <w:sz w:val="24"/>
              </w:rPr>
              <w:t>：</w:t>
            </w:r>
          </w:p>
        </w:tc>
        <w:tc>
          <w:tcPr>
            <w:tcW w:w="6797" w:type="dxa"/>
            <w:gridSpan w:val="3"/>
            <w:vAlign w:val="center"/>
          </w:tcPr>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right="0"/>
              <w:jc w:val="both"/>
              <w:textAlignment w:val="auto"/>
              <w:rPr>
                <w:rStyle w:val="18"/>
                <w:rFonts w:ascii="宋体" w:hAnsi="宋体" w:cs="宋体"/>
                <w:b/>
                <w:bCs/>
                <w:kern w:val="0"/>
                <w:sz w:val="24"/>
              </w:rPr>
            </w:pPr>
            <w:r>
              <w:rPr>
                <w:rFonts w:hint="eastAsia" w:ascii="Times New Roman" w:hAnsi="Times New Roman" w:eastAsia="宋体" w:cs="Times New Roman"/>
                <w:b/>
                <w:bCs/>
                <w:kern w:val="0"/>
                <w:sz w:val="24"/>
                <w:szCs w:val="24"/>
                <w:lang w:val="en-US" w:eastAsia="zh-CN"/>
              </w:rPr>
              <w:t>关于加强我州农村饮水安全现状运行管理的建议</w:t>
            </w:r>
          </w:p>
        </w:tc>
      </w:tr>
      <w:tr>
        <w:tblPrEx>
          <w:tblCellMar>
            <w:top w:w="0" w:type="dxa"/>
            <w:left w:w="15" w:type="dxa"/>
            <w:bottom w:w="0" w:type="dxa"/>
            <w:right w:w="15" w:type="dxa"/>
          </w:tblCellMar>
        </w:tblPrEx>
        <w:tc>
          <w:tcPr>
            <w:tcW w:w="1753" w:type="dxa"/>
            <w:vAlign w:val="center"/>
          </w:tcPr>
          <w:p>
            <w:pPr>
              <w:jc w:val="left"/>
              <w:rPr>
                <w:rStyle w:val="18"/>
                <w:rFonts w:ascii="宋体" w:hAnsi="宋体"/>
                <w:kern w:val="0"/>
                <w:sz w:val="24"/>
              </w:rPr>
            </w:pPr>
            <w:r>
              <w:rPr>
                <w:rStyle w:val="18"/>
                <w:rFonts w:ascii="黑体" w:hAnsi="宋体" w:eastAsia="黑体" w:cs="宋体"/>
                <w:b/>
                <w:bCs/>
                <w:kern w:val="0"/>
                <w:sz w:val="24"/>
              </w:rPr>
              <w:t>审查意见</w:t>
            </w:r>
            <w:r>
              <w:rPr>
                <w:rStyle w:val="18"/>
                <w:rFonts w:ascii="宋体" w:hAnsi="宋体" w:cs="宋体"/>
                <w:b/>
                <w:bCs/>
                <w:kern w:val="0"/>
                <w:sz w:val="24"/>
              </w:rPr>
              <w:t>：</w:t>
            </w:r>
          </w:p>
        </w:tc>
        <w:tc>
          <w:tcPr>
            <w:tcW w:w="6797" w:type="dxa"/>
            <w:gridSpan w:val="3"/>
            <w:vAlign w:val="center"/>
          </w:tcPr>
          <w:p>
            <w:pPr>
              <w:jc w:val="left"/>
              <w:rPr>
                <w:rStyle w:val="18"/>
                <w:rFonts w:hint="default" w:ascii="宋体" w:hAnsi="宋体"/>
                <w:kern w:val="0"/>
                <w:sz w:val="24"/>
                <w:lang w:val="en-US" w:eastAsia="zh-CN"/>
              </w:rPr>
            </w:pPr>
            <w:r>
              <w:rPr>
                <w:rStyle w:val="18"/>
                <w:rFonts w:hint="eastAsia" w:ascii="宋体" w:hAnsi="宋体"/>
                <w:kern w:val="0"/>
                <w:sz w:val="24"/>
                <w:szCs w:val="24"/>
                <w:lang w:eastAsia="zh-CN"/>
              </w:rPr>
              <w:t>主办：州水务局</w:t>
            </w:r>
            <w:r>
              <w:rPr>
                <w:rStyle w:val="18"/>
                <w:rFonts w:hint="eastAsia" w:ascii="宋体" w:hAnsi="宋体"/>
                <w:kern w:val="0"/>
                <w:sz w:val="24"/>
                <w:szCs w:val="24"/>
                <w:lang w:val="en-US" w:eastAsia="zh-CN"/>
              </w:rPr>
              <w:t xml:space="preserve">   会办：</w:t>
            </w:r>
            <w:bookmarkStart w:id="0" w:name="_GoBack"/>
            <w:bookmarkEnd w:id="0"/>
          </w:p>
        </w:tc>
      </w:tr>
      <w:tr>
        <w:tblPrEx>
          <w:tblCellMar>
            <w:top w:w="0" w:type="dxa"/>
            <w:left w:w="15" w:type="dxa"/>
            <w:bottom w:w="0" w:type="dxa"/>
            <w:right w:w="15" w:type="dxa"/>
          </w:tblCellMar>
        </w:tblPrEx>
        <w:tc>
          <w:tcPr>
            <w:tcW w:w="1753" w:type="dxa"/>
            <w:vAlign w:val="center"/>
          </w:tcPr>
          <w:p>
            <w:pPr>
              <w:jc w:val="left"/>
              <w:rPr>
                <w:rStyle w:val="18"/>
                <w:rFonts w:ascii="黑体" w:hAnsi="宋体" w:eastAsia="黑体"/>
                <w:kern w:val="0"/>
                <w:sz w:val="24"/>
              </w:rPr>
            </w:pPr>
            <w:r>
              <w:rPr>
                <w:rStyle w:val="18"/>
                <w:rFonts w:ascii="黑体" w:hAnsi="宋体" w:eastAsia="黑体" w:cs="宋体"/>
                <w:b/>
                <w:bCs/>
                <w:kern w:val="0"/>
                <w:sz w:val="24"/>
              </w:rPr>
              <w:t>提</w:t>
            </w:r>
            <w:r>
              <w:rPr>
                <w:rStyle w:val="18"/>
                <w:rFonts w:hint="eastAsia" w:ascii="黑体" w:hAnsi="宋体" w:eastAsia="黑体" w:cs="宋体"/>
                <w:b/>
                <w:bCs/>
                <w:kern w:val="0"/>
                <w:sz w:val="24"/>
                <w:lang w:val="en-US" w:eastAsia="zh-CN"/>
              </w:rPr>
              <w:t xml:space="preserve"> </w:t>
            </w:r>
            <w:r>
              <w:rPr>
                <w:rStyle w:val="18"/>
                <w:rFonts w:ascii="黑体" w:hAnsi="宋体" w:eastAsia="黑体" w:cs="宋体"/>
                <w:b/>
                <w:bCs/>
                <w:kern w:val="0"/>
                <w:sz w:val="24"/>
              </w:rPr>
              <w:t>案</w:t>
            </w:r>
            <w:r>
              <w:rPr>
                <w:rStyle w:val="18"/>
                <w:rFonts w:hint="eastAsia" w:ascii="黑体" w:hAnsi="宋体" w:eastAsia="黑体" w:cs="宋体"/>
                <w:b/>
                <w:bCs/>
                <w:kern w:val="0"/>
                <w:sz w:val="24"/>
                <w:lang w:val="en-US" w:eastAsia="zh-CN"/>
              </w:rPr>
              <w:t xml:space="preserve"> </w:t>
            </w:r>
            <w:r>
              <w:rPr>
                <w:rStyle w:val="18"/>
                <w:rFonts w:ascii="黑体" w:hAnsi="宋体" w:eastAsia="黑体" w:cs="宋体"/>
                <w:b/>
                <w:bCs/>
                <w:kern w:val="0"/>
                <w:sz w:val="24"/>
              </w:rPr>
              <w:t>人</w:t>
            </w:r>
            <w:r>
              <w:rPr>
                <w:rStyle w:val="18"/>
                <w:rFonts w:ascii="宋体" w:hAnsi="宋体" w:eastAsia="黑体" w:cs="宋体"/>
                <w:b/>
                <w:bCs/>
                <w:kern w:val="0"/>
                <w:sz w:val="24"/>
              </w:rPr>
              <w:t>：</w:t>
            </w:r>
          </w:p>
        </w:tc>
        <w:tc>
          <w:tcPr>
            <w:tcW w:w="3872" w:type="dxa"/>
            <w:vAlign w:val="center"/>
          </w:tcPr>
          <w:p>
            <w:pPr>
              <w:jc w:val="left"/>
              <w:rPr>
                <w:rStyle w:val="18"/>
                <w:rFonts w:ascii="宋体" w:hAnsi="宋体"/>
                <w:kern w:val="0"/>
                <w:sz w:val="24"/>
              </w:rPr>
            </w:pPr>
            <w:r>
              <w:rPr>
                <w:rStyle w:val="18"/>
                <w:rFonts w:ascii="宋体" w:hAnsi="宋体" w:cs="宋体"/>
                <w:b/>
                <w:bCs/>
                <w:kern w:val="0"/>
                <w:sz w:val="24"/>
              </w:rPr>
              <w:t>通讯地址</w:t>
            </w:r>
          </w:p>
        </w:tc>
        <w:tc>
          <w:tcPr>
            <w:tcW w:w="1440" w:type="dxa"/>
            <w:vAlign w:val="center"/>
          </w:tcPr>
          <w:p>
            <w:pPr>
              <w:jc w:val="left"/>
              <w:rPr>
                <w:rStyle w:val="18"/>
                <w:rFonts w:ascii="宋体" w:hAnsi="宋体"/>
                <w:kern w:val="0"/>
                <w:sz w:val="24"/>
              </w:rPr>
            </w:pPr>
            <w:r>
              <w:rPr>
                <w:rStyle w:val="18"/>
                <w:rFonts w:ascii="宋体" w:hAnsi="宋体" w:cs="宋体"/>
                <w:b/>
                <w:bCs/>
                <w:kern w:val="0"/>
                <w:sz w:val="24"/>
              </w:rPr>
              <w:t>邮政编码</w:t>
            </w:r>
          </w:p>
        </w:tc>
        <w:tc>
          <w:tcPr>
            <w:tcW w:w="1485" w:type="dxa"/>
            <w:vAlign w:val="center"/>
          </w:tcPr>
          <w:p>
            <w:pPr>
              <w:jc w:val="left"/>
              <w:rPr>
                <w:rStyle w:val="18"/>
                <w:rFonts w:ascii="宋体" w:hAnsi="宋体"/>
                <w:kern w:val="0"/>
                <w:sz w:val="24"/>
              </w:rPr>
            </w:pPr>
            <w:r>
              <w:rPr>
                <w:rStyle w:val="18"/>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pStyle w:val="34"/>
              <w:ind w:left="0" w:leftChars="0" w:firstLine="0" w:firstLineChars="0"/>
              <w:rPr>
                <w:rFonts w:hint="default"/>
                <w:lang w:val="en-US" w:eastAsia="zh-CN"/>
              </w:rPr>
            </w:pPr>
            <w:r>
              <w:rPr>
                <w:rFonts w:hint="default"/>
                <w:lang w:val="en-US" w:eastAsia="zh-CN"/>
              </w:rPr>
              <w:t>韦</w:t>
            </w:r>
            <w:r>
              <w:rPr>
                <w:rFonts w:hint="eastAsia"/>
                <w:lang w:val="en-US" w:eastAsia="zh-CN"/>
              </w:rPr>
              <w:t xml:space="preserve">  </w:t>
            </w:r>
            <w:r>
              <w:rPr>
                <w:rFonts w:hint="default"/>
                <w:lang w:val="en-US" w:eastAsia="zh-CN"/>
              </w:rPr>
              <w:t>燏</w:t>
            </w:r>
          </w:p>
        </w:tc>
        <w:tc>
          <w:tcPr>
            <w:tcW w:w="3872" w:type="dxa"/>
            <w:vAlign w:val="center"/>
          </w:tcPr>
          <w:p>
            <w:pPr>
              <w:pStyle w:val="34"/>
              <w:ind w:left="0" w:leftChars="0" w:firstLine="0" w:firstLineChars="0"/>
              <w:rPr>
                <w:rFonts w:hint="default"/>
                <w:lang w:val="en-US" w:eastAsia="zh-CN"/>
              </w:rPr>
            </w:pPr>
            <w:r>
              <w:rPr>
                <w:rFonts w:hint="default"/>
                <w:lang w:val="en-US" w:eastAsia="zh-CN"/>
              </w:rPr>
              <w:t>丹寨县兴仁镇</w:t>
            </w:r>
          </w:p>
        </w:tc>
        <w:tc>
          <w:tcPr>
            <w:tcW w:w="1440" w:type="dxa"/>
            <w:vAlign w:val="center"/>
          </w:tcPr>
          <w:p>
            <w:pPr>
              <w:jc w:val="left"/>
              <w:rPr>
                <w:rStyle w:val="18"/>
                <w:rFonts w:hint="default" w:ascii="宋体" w:hAnsi="宋体" w:eastAsia="宋体"/>
                <w:kern w:val="0"/>
                <w:sz w:val="24"/>
                <w:lang w:val="en-US" w:eastAsia="zh-CN"/>
              </w:rPr>
            </w:pPr>
            <w:r>
              <w:rPr>
                <w:rStyle w:val="18"/>
                <w:rFonts w:hint="eastAsia" w:ascii="宋体" w:hAnsi="宋体"/>
                <w:kern w:val="0"/>
                <w:sz w:val="24"/>
              </w:rPr>
              <w:t>55</w:t>
            </w:r>
            <w:r>
              <w:rPr>
                <w:rStyle w:val="18"/>
                <w:rFonts w:hint="eastAsia" w:ascii="宋体" w:hAnsi="宋体"/>
                <w:kern w:val="0"/>
                <w:sz w:val="24"/>
                <w:lang w:val="en-US"/>
              </w:rPr>
              <w:t>7500</w:t>
            </w:r>
          </w:p>
        </w:tc>
        <w:tc>
          <w:tcPr>
            <w:tcW w:w="1485" w:type="dxa"/>
            <w:vAlign w:val="center"/>
          </w:tcPr>
          <w:p>
            <w:pPr>
              <w:pStyle w:val="34"/>
              <w:ind w:left="0" w:leftChars="0" w:firstLine="0" w:firstLineChars="0"/>
              <w:rPr>
                <w:rFonts w:hint="default"/>
                <w:lang w:val="en-US" w:eastAsia="zh-CN"/>
              </w:rPr>
            </w:pPr>
            <w:r>
              <w:rPr>
                <w:rFonts w:hint="default"/>
                <w:sz w:val="20"/>
                <w:szCs w:val="22"/>
                <w:lang w:val="en-US" w:eastAsia="zh-CN"/>
              </w:rPr>
              <w:t>15908552277</w:t>
            </w:r>
          </w:p>
        </w:tc>
      </w:tr>
      <w:tr>
        <w:tblPrEx>
          <w:tblCellMar>
            <w:top w:w="0" w:type="dxa"/>
            <w:left w:w="15" w:type="dxa"/>
            <w:bottom w:w="0" w:type="dxa"/>
            <w:right w:w="15" w:type="dxa"/>
          </w:tblCellMar>
        </w:tblPrEx>
        <w:tc>
          <w:tcPr>
            <w:tcW w:w="1753" w:type="dxa"/>
            <w:vAlign w:val="center"/>
          </w:tcPr>
          <w:p>
            <w:pPr>
              <w:jc w:val="left"/>
              <w:rPr>
                <w:rStyle w:val="18"/>
                <w:rFonts w:hint="eastAsia" w:ascii="宋体" w:hAnsi="宋体" w:eastAsia="宋体"/>
                <w:kern w:val="0"/>
                <w:sz w:val="24"/>
                <w:lang w:eastAsia="zh-CN"/>
              </w:rPr>
            </w:pPr>
            <w:r>
              <w:rPr>
                <w:rStyle w:val="18"/>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8"/>
                <w:rFonts w:hint="eastAsia" w:ascii="宋体" w:hAnsi="宋体"/>
                <w:kern w:val="0"/>
                <w:sz w:val="24"/>
                <w:lang w:val="en-US" w:eastAsia="zh-CN"/>
              </w:rPr>
            </w:pPr>
            <w:r>
              <w:rPr>
                <w:rStyle w:val="18"/>
                <w:rFonts w:hint="eastAsia" w:ascii="宋体" w:hAnsi="宋体"/>
                <w:kern w:val="0"/>
                <w:sz w:val="24"/>
                <w:lang w:eastAsia="zh-CN"/>
              </w:rPr>
              <w:t>州委办秘书五科：</w:t>
            </w:r>
            <w:r>
              <w:rPr>
                <w:rStyle w:val="18"/>
                <w:rFonts w:hint="eastAsia" w:ascii="宋体" w:hAnsi="宋体"/>
                <w:kern w:val="0"/>
                <w:sz w:val="24"/>
                <w:lang w:val="en-US" w:eastAsia="zh-CN"/>
              </w:rPr>
              <w:t>8270060；</w:t>
            </w:r>
            <w:r>
              <w:rPr>
                <w:rStyle w:val="18"/>
                <w:rFonts w:hint="eastAsia" w:ascii="宋体" w:hAnsi="宋体"/>
                <w:kern w:val="0"/>
                <w:sz w:val="24"/>
                <w:lang w:eastAsia="zh-CN"/>
              </w:rPr>
              <w:t>州政府办建议提案科：</w:t>
            </w:r>
            <w:r>
              <w:rPr>
                <w:rStyle w:val="18"/>
                <w:rFonts w:hint="eastAsia" w:ascii="宋体" w:hAnsi="宋体"/>
                <w:kern w:val="0"/>
                <w:sz w:val="24"/>
                <w:lang w:val="en-US" w:eastAsia="zh-CN"/>
              </w:rPr>
              <w:t>8260016；</w:t>
            </w:r>
          </w:p>
          <w:p>
            <w:pPr>
              <w:jc w:val="left"/>
              <w:rPr>
                <w:rStyle w:val="18"/>
                <w:rFonts w:hint="default" w:ascii="宋体" w:hAnsi="宋体"/>
                <w:kern w:val="0"/>
                <w:sz w:val="24"/>
                <w:lang w:val="en-US"/>
              </w:rPr>
            </w:pPr>
            <w:r>
              <w:rPr>
                <w:rStyle w:val="18"/>
                <w:rFonts w:hint="eastAsia" w:ascii="宋体" w:hAnsi="宋体"/>
                <w:kern w:val="0"/>
                <w:sz w:val="24"/>
                <w:lang w:eastAsia="zh-CN"/>
              </w:rPr>
              <w:t>州政协提案委：</w:t>
            </w:r>
            <w:r>
              <w:rPr>
                <w:rStyle w:val="18"/>
                <w:rFonts w:hint="eastAsia" w:ascii="宋体" w:hAnsi="宋体"/>
                <w:kern w:val="0"/>
                <w:sz w:val="24"/>
                <w:lang w:val="en-US" w:eastAsia="zh-CN"/>
              </w:rPr>
              <w:t>8428866</w:t>
            </w:r>
            <w:r>
              <w:rPr>
                <w:rStyle w:val="18"/>
                <w:rFonts w:hint="eastAsia" w:ascii="宋体" w:hAnsi="宋体"/>
                <w:kern w:val="0"/>
                <w:sz w:val="24"/>
                <w:lang w:eastAsia="zh-CN"/>
              </w:rPr>
              <w:t>。</w:t>
            </w:r>
          </w:p>
        </w:tc>
      </w:tr>
    </w:tbl>
    <w:p>
      <w:pPr>
        <w:jc w:val="left"/>
        <w:rPr>
          <w:rStyle w:val="18"/>
          <w:rFonts w:ascii="宋体" w:hAnsi="宋体"/>
          <w:kern w:val="0"/>
          <w:sz w:val="24"/>
        </w:rPr>
      </w:pPr>
      <w:r>
        <w:rPr>
          <w:rStyle w:val="18"/>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keepNext w:val="0"/>
        <w:keepLines w:val="0"/>
        <w:pageBreakBefore w:val="0"/>
        <w:widowControl/>
        <w:kinsoku/>
        <w:wordWrap/>
        <w:overflowPunct/>
        <w:topLinePunct w:val="0"/>
        <w:autoSpaceDE/>
        <w:autoSpaceDN/>
        <w:bidi w:val="0"/>
        <w:adjustRightInd/>
        <w:snapToGrid/>
        <w:spacing w:line="560" w:lineRule="exact"/>
        <w:textAlignment w:val="baseline"/>
        <w:rPr>
          <w:rStyle w:val="18"/>
          <w:rFonts w:hint="eastAsia" w:ascii="仿宋_GB2312" w:hAnsi="宋体" w:eastAsia="仿宋_GB2312"/>
          <w:kern w:val="0"/>
          <w:sz w:val="32"/>
          <w:szCs w:val="32"/>
        </w:rPr>
      </w:pPr>
      <w:r>
        <w:rPr>
          <w:rStyle w:val="18"/>
          <w:rFonts w:hint="eastAsia" w:ascii="仿宋_GB2312" w:hAnsi="宋体" w:eastAsia="仿宋_GB2312"/>
          <w:kern w:val="0"/>
          <w:sz w:val="32"/>
          <w:szCs w:val="32"/>
        </w:rPr>
        <w:t>内容和办法</w:t>
      </w:r>
      <w:r>
        <w:rPr>
          <w:rStyle w:val="18"/>
          <w:rFonts w:hint="eastAsia" w:ascii="仿宋_GB2312" w:hAnsi="宋体" w:eastAsia="仿宋_GB2312"/>
          <w:kern w:val="0"/>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kern w:val="0"/>
          <w:sz w:val="32"/>
          <w:szCs w:val="32"/>
        </w:rPr>
        <w:t>近年来，我州广大农村地区加大投入，有效解决了农村饮水困难问题。但由于工程技术或水源点等原因，人饮工程建设仍存在以下问题：一是饮水工程项目前期建设不合理。在人饮工程建设初期，只接入主管网，未实施一户一表，造成大部分村（居）在收缴水费过程中实行平摊制，部分常年外出务工群众由于没有使用到水资源，不愿缴费，导致部分村（居）水费收缴不规范不及时。二是取水点设计不合理。因部分饮水点扬尘过高，导致成本过大，部分饮水点群众使用意愿较低。三是饮水工程后期经费投入少。饮水工程项目只有前期项目经费投入，没有后期管护资金，造成维护经费需通过农户收缴水费来实现，又因水费收缴困难，维护不及时，导致饮水管网损坏，部分饮水点不能正常使用。四是水质较差。虽配备管水员，但由于工资待遇不高，人员流动性大，队伍建设不强，管水员业务能力不强，对消毒设备的使用及消毒液的投放量掌握不精准，导致饮水水质较差。五是群众保护水源意识淡薄。存在有些群众在水源地附近乱堆乱放垃圾，导致水源地污染。</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kern w:val="0"/>
          <w:sz w:val="32"/>
          <w:szCs w:val="32"/>
        </w:rPr>
        <w:t>建议：</w:t>
      </w:r>
    </w:p>
    <w:p>
      <w:pPr>
        <w:keepNext w:val="0"/>
        <w:keepLines w:val="0"/>
        <w:pageBreakBefore w:val="0"/>
        <w:widowControl/>
        <w:kinsoku/>
        <w:wordWrap/>
        <w:overflowPunct/>
        <w:topLinePunct w:val="0"/>
        <w:autoSpaceDE/>
        <w:autoSpaceDN/>
        <w:bidi w:val="0"/>
        <w:adjustRightInd/>
        <w:snapToGrid/>
        <w:spacing w:line="560" w:lineRule="exact"/>
        <w:ind w:left="0" w:leftChars="0" w:firstLine="643"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b/>
          <w:bCs/>
          <w:kern w:val="0"/>
          <w:sz w:val="32"/>
          <w:szCs w:val="32"/>
        </w:rPr>
        <w:t>（一）透明水费收缴标准。</w:t>
      </w:r>
      <w:r>
        <w:rPr>
          <w:rStyle w:val="18"/>
          <w:rFonts w:hint="eastAsia" w:ascii="仿宋_GB2312" w:hAnsi="宋体" w:eastAsia="仿宋_GB2312"/>
          <w:kern w:val="0"/>
          <w:sz w:val="32"/>
          <w:szCs w:val="32"/>
        </w:rPr>
        <w:t>通过院坝会、小组会等听取广大群众意见，将水费收缴制度纳入村规民约，对征收的水费开支定期向用户进行公示，接受用户及社会的监督。同时，建立水价补偿机制，对工程运行维护费用较高，但水价难以到位的一些工程，采取财政补贴的方式，维护管理单位和用户双方的利益。</w:t>
      </w:r>
    </w:p>
    <w:p>
      <w:pPr>
        <w:keepNext w:val="0"/>
        <w:keepLines w:val="0"/>
        <w:pageBreakBefore w:val="0"/>
        <w:widowControl/>
        <w:kinsoku/>
        <w:wordWrap/>
        <w:overflowPunct/>
        <w:topLinePunct w:val="0"/>
        <w:autoSpaceDE/>
        <w:autoSpaceDN/>
        <w:bidi w:val="0"/>
        <w:adjustRightInd/>
        <w:snapToGrid/>
        <w:spacing w:line="560" w:lineRule="exact"/>
        <w:ind w:left="0" w:leftChars="0" w:firstLine="643"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b/>
          <w:bCs/>
          <w:kern w:val="0"/>
          <w:sz w:val="32"/>
          <w:szCs w:val="32"/>
        </w:rPr>
        <w:t>（二）健全饮水安全巩固。</w:t>
      </w:r>
      <w:r>
        <w:rPr>
          <w:rStyle w:val="18"/>
          <w:rFonts w:hint="eastAsia" w:ascii="仿宋_GB2312" w:hAnsi="宋体" w:eastAsia="仿宋_GB2312"/>
          <w:kern w:val="0"/>
          <w:sz w:val="32"/>
          <w:szCs w:val="32"/>
        </w:rPr>
        <w:t>争取项目实施农村饮水安全巩固提升工程，通过实地考察，合理、科学选址，新建、扩建、配套、改造、联网等方式，加强农村供水工程改造提升和农村供水设施维修，提高供水设施管理养护，使农村饮水安全得到全面保障。</w:t>
      </w:r>
    </w:p>
    <w:p>
      <w:pPr>
        <w:keepNext w:val="0"/>
        <w:keepLines w:val="0"/>
        <w:pageBreakBefore w:val="0"/>
        <w:widowControl/>
        <w:kinsoku/>
        <w:wordWrap/>
        <w:overflowPunct/>
        <w:topLinePunct w:val="0"/>
        <w:autoSpaceDE/>
        <w:autoSpaceDN/>
        <w:bidi w:val="0"/>
        <w:adjustRightInd/>
        <w:snapToGrid/>
        <w:spacing w:line="560" w:lineRule="exact"/>
        <w:ind w:left="0" w:leftChars="0" w:firstLine="643"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b/>
          <w:bCs/>
          <w:kern w:val="0"/>
          <w:sz w:val="32"/>
          <w:szCs w:val="32"/>
        </w:rPr>
        <w:t>（三）建立供水保障体系。</w:t>
      </w:r>
      <w:r>
        <w:rPr>
          <w:rStyle w:val="18"/>
          <w:rFonts w:hint="eastAsia" w:ascii="仿宋_GB2312" w:hAnsi="宋体" w:eastAsia="仿宋_GB2312"/>
          <w:kern w:val="0"/>
          <w:sz w:val="32"/>
          <w:szCs w:val="32"/>
        </w:rPr>
        <w:t>成立农村供水工程运行维护人员队伍，常态化开展培训，逐步实行管护人员持证上岗;组建农村供水工程应急维修队伍；建立农村供水工程维修基金，用于规模较小、效益不明显的供水工程的维护费用补贴。</w:t>
      </w:r>
    </w:p>
    <w:p>
      <w:pPr>
        <w:keepNext w:val="0"/>
        <w:keepLines w:val="0"/>
        <w:pageBreakBefore w:val="0"/>
        <w:widowControl/>
        <w:kinsoku/>
        <w:wordWrap/>
        <w:overflowPunct/>
        <w:topLinePunct w:val="0"/>
        <w:autoSpaceDE/>
        <w:autoSpaceDN/>
        <w:bidi w:val="0"/>
        <w:adjustRightInd/>
        <w:snapToGrid/>
        <w:spacing w:line="560" w:lineRule="exact"/>
        <w:ind w:left="0" w:leftChars="0" w:firstLine="643"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b/>
          <w:bCs/>
          <w:kern w:val="0"/>
          <w:sz w:val="32"/>
          <w:szCs w:val="32"/>
        </w:rPr>
        <w:t>（四）创新工程管护机制。</w:t>
      </w:r>
      <w:r>
        <w:rPr>
          <w:rStyle w:val="18"/>
          <w:rFonts w:hint="eastAsia" w:ascii="仿宋_GB2312" w:hAnsi="宋体" w:eastAsia="仿宋_GB2312"/>
          <w:kern w:val="0"/>
          <w:sz w:val="32"/>
          <w:szCs w:val="32"/>
        </w:rPr>
        <w:t>健全工程运行管护制度，全面落实农村饮水安全管理“三个责任”和“三项制度”，加强对村级管水员的培训力度，使其熟练操作消毒设备及精准投放消毒液量，确保出水水质合格，让群众喝上安全水、放心水，保障群众饮水健康。</w:t>
      </w:r>
    </w:p>
    <w:p>
      <w:pPr>
        <w:keepNext w:val="0"/>
        <w:keepLines w:val="0"/>
        <w:pageBreakBefore w:val="0"/>
        <w:widowControl/>
        <w:kinsoku/>
        <w:wordWrap/>
        <w:overflowPunct/>
        <w:topLinePunct w:val="0"/>
        <w:autoSpaceDE/>
        <w:autoSpaceDN/>
        <w:bidi w:val="0"/>
        <w:adjustRightInd/>
        <w:snapToGrid/>
        <w:spacing w:line="560" w:lineRule="exact"/>
        <w:ind w:left="0" w:leftChars="0" w:firstLine="643"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b/>
          <w:bCs/>
          <w:kern w:val="0"/>
          <w:sz w:val="32"/>
          <w:szCs w:val="32"/>
        </w:rPr>
        <w:t>（五）扩大卫生教育宣传。</w:t>
      </w:r>
      <w:r>
        <w:rPr>
          <w:rStyle w:val="18"/>
          <w:rFonts w:hint="eastAsia" w:ascii="仿宋_GB2312" w:hAnsi="宋体" w:eastAsia="仿宋_GB2312"/>
          <w:kern w:val="0"/>
          <w:sz w:val="32"/>
          <w:szCs w:val="32"/>
        </w:rPr>
        <w:t xml:space="preserve">深入农村开展饮水安全健康教育，提高群众安全饮水意识，引导群众积极饮用消毒饮用水。同时，严格禁止破坏水源地设施行为，对水源地实行24小时巡逻制度，及时排查和消除各类安全隐患，确保信息畅通，发现问题，及时上报，及时处理，保障供水安全。  </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kern w:val="0"/>
          <w:sz w:val="32"/>
          <w:szCs w:val="32"/>
        </w:rPr>
        <w:t xml:space="preserve"> </w:t>
      </w:r>
      <w:r>
        <w:rPr>
          <w:rFonts w:hint="eastAsia" w:ascii="仿宋" w:hAnsi="仿宋" w:eastAsia="仿宋" w:cs="仿宋"/>
          <w:sz w:val="30"/>
          <w:szCs w:val="30"/>
          <w:lang w:val="en-US" w:eastAsia="zh-CN"/>
        </w:rPr>
        <w:t xml:space="preserve"> </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kern w:val="0"/>
          <w:sz w:val="32"/>
          <w:szCs w:val="32"/>
        </w:rPr>
        <w:t>注：1、提案会办单位需将会办意见送主办单位，由主办单位连同《提案答复件》《征询意见表》一并抄送州政协；（涉及目标考核）</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lang w:val="en-US" w:eastAsia="zh-CN"/>
        </w:rPr>
      </w:pPr>
      <w:r>
        <w:rPr>
          <w:rStyle w:val="18"/>
          <w:rFonts w:hint="eastAsia" w:ascii="仿宋_GB2312" w:hAnsi="宋体" w:eastAsia="仿宋_GB2312"/>
          <w:kern w:val="0"/>
          <w:sz w:val="32"/>
          <w:szCs w:val="32"/>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9"/>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rPr>
        <w:rStyle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6C23FF"/>
    <w:multiLevelType w:val="multilevel"/>
    <w:tmpl w:val="1D6C23FF"/>
    <w:lvl w:ilvl="0" w:tentative="0">
      <w:start w:val="1"/>
      <w:numFmt w:val="chineseCounting"/>
      <w:suff w:val="nothing"/>
      <w:lvlText w:val="%1、"/>
      <w:lvlJc w:val="left"/>
      <w:pPr>
        <w:tabs>
          <w:tab w:val="left" w:pos="0"/>
        </w:tabs>
        <w:ind w:firstLine="40"/>
      </w:pPr>
      <w:rPr>
        <w:rFonts w:hint="eastAsia" w:ascii="Times New Roman" w:hAnsi="Times New Roman" w:eastAsia="黑体" w:cs="宋体"/>
        <w:sz w:val="32"/>
        <w:szCs w:val="32"/>
      </w:rPr>
    </w:lvl>
    <w:lvl w:ilvl="1" w:tentative="0">
      <w:start w:val="1"/>
      <w:numFmt w:val="chineseCounting"/>
      <w:suff w:val="nothing"/>
      <w:lvlText w:val="（%2）"/>
      <w:lvlJc w:val="left"/>
      <w:pPr>
        <w:tabs>
          <w:tab w:val="left" w:pos="0"/>
        </w:tabs>
      </w:pPr>
      <w:rPr>
        <w:rFonts w:hint="eastAsia" w:cs="Times New Roman"/>
      </w:rPr>
    </w:lvl>
    <w:lvl w:ilvl="2" w:tentative="0">
      <w:start w:val="1"/>
      <w:numFmt w:val="decimal"/>
      <w:pStyle w:val="3"/>
      <w:suff w:val="nothing"/>
      <w:lvlText w:val="%3．"/>
      <w:lvlJc w:val="left"/>
      <w:pPr>
        <w:ind w:firstLine="400"/>
      </w:pPr>
      <w:rPr>
        <w:rFonts w:hint="eastAsia" w:cs="Times New Roman"/>
      </w:rPr>
    </w:lvl>
    <w:lvl w:ilvl="3" w:tentative="0">
      <w:start w:val="1"/>
      <w:numFmt w:val="decimal"/>
      <w:suff w:val="nothing"/>
      <w:lvlText w:val="（%4）"/>
      <w:lvlJc w:val="left"/>
      <w:pPr>
        <w:ind w:firstLine="402"/>
      </w:pPr>
      <w:rPr>
        <w:rFonts w:hint="eastAsia" w:cs="Times New Roman"/>
      </w:rPr>
    </w:lvl>
    <w:lvl w:ilvl="4" w:tentative="0">
      <w:start w:val="1"/>
      <w:numFmt w:val="decimalEnclosedCircleChinese"/>
      <w:suff w:val="nothing"/>
      <w:lvlText w:val="%5"/>
      <w:lvlJc w:val="left"/>
      <w:pPr>
        <w:ind w:firstLine="402"/>
      </w:pPr>
      <w:rPr>
        <w:rFonts w:hint="eastAsia" w:cs="Times New Roman"/>
      </w:rPr>
    </w:lvl>
    <w:lvl w:ilvl="5" w:tentative="0">
      <w:start w:val="1"/>
      <w:numFmt w:val="decimal"/>
      <w:suff w:val="nothing"/>
      <w:lvlText w:val="%6）"/>
      <w:lvlJc w:val="left"/>
      <w:pPr>
        <w:ind w:firstLine="402"/>
      </w:pPr>
      <w:rPr>
        <w:rFonts w:hint="eastAsia" w:cs="Times New Roman"/>
      </w:rPr>
    </w:lvl>
    <w:lvl w:ilvl="6" w:tentative="0">
      <w:start w:val="1"/>
      <w:numFmt w:val="lowerLetter"/>
      <w:suff w:val="nothing"/>
      <w:lvlText w:val="%7．"/>
      <w:lvlJc w:val="left"/>
      <w:pPr>
        <w:ind w:firstLine="402"/>
      </w:pPr>
      <w:rPr>
        <w:rFonts w:hint="eastAsia" w:cs="Times New Roman"/>
      </w:rPr>
    </w:lvl>
    <w:lvl w:ilvl="7" w:tentative="0">
      <w:start w:val="1"/>
      <w:numFmt w:val="lowerLetter"/>
      <w:suff w:val="nothing"/>
      <w:lvlText w:val="%8）"/>
      <w:lvlJc w:val="left"/>
      <w:pPr>
        <w:ind w:firstLine="402"/>
      </w:pPr>
      <w:rPr>
        <w:rFonts w:hint="eastAsia" w:cs="Times New Roman"/>
      </w:rPr>
    </w:lvl>
    <w:lvl w:ilvl="8" w:tentative="0">
      <w:start w:val="1"/>
      <w:numFmt w:val="lowerRoman"/>
      <w:suff w:val="nothing"/>
      <w:lvlText w:val="%9 "/>
      <w:lvlJc w:val="left"/>
      <w:pPr>
        <w:ind w:firstLine="402"/>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B66956"/>
    <w:rsid w:val="10B40BCC"/>
    <w:rsid w:val="118823F2"/>
    <w:rsid w:val="18EC1E64"/>
    <w:rsid w:val="1BAB45FA"/>
    <w:rsid w:val="1F7D4319"/>
    <w:rsid w:val="20E366FE"/>
    <w:rsid w:val="21EA0B57"/>
    <w:rsid w:val="247C3884"/>
    <w:rsid w:val="29EB237C"/>
    <w:rsid w:val="2FD84B80"/>
    <w:rsid w:val="30B878C9"/>
    <w:rsid w:val="33552650"/>
    <w:rsid w:val="377737A4"/>
    <w:rsid w:val="38D60616"/>
    <w:rsid w:val="3A7B4D73"/>
    <w:rsid w:val="3BE7499D"/>
    <w:rsid w:val="3F1A5C90"/>
    <w:rsid w:val="3FFFB32C"/>
    <w:rsid w:val="3FFFE3C6"/>
    <w:rsid w:val="42F10C9F"/>
    <w:rsid w:val="493508EE"/>
    <w:rsid w:val="497C7186"/>
    <w:rsid w:val="4A196944"/>
    <w:rsid w:val="4F1E6C2C"/>
    <w:rsid w:val="4F6B5D70"/>
    <w:rsid w:val="507F065A"/>
    <w:rsid w:val="5236789E"/>
    <w:rsid w:val="559F1A55"/>
    <w:rsid w:val="5A7C34BF"/>
    <w:rsid w:val="5AA17385"/>
    <w:rsid w:val="5B7C24C8"/>
    <w:rsid w:val="5E7C7E34"/>
    <w:rsid w:val="61895CCF"/>
    <w:rsid w:val="66BFFAA4"/>
    <w:rsid w:val="66F35DD9"/>
    <w:rsid w:val="67EB87B7"/>
    <w:rsid w:val="6854075C"/>
    <w:rsid w:val="69A37ABB"/>
    <w:rsid w:val="6B6BD482"/>
    <w:rsid w:val="6B9B22E1"/>
    <w:rsid w:val="72FFB92D"/>
    <w:rsid w:val="762A4BFD"/>
    <w:rsid w:val="77DEC814"/>
    <w:rsid w:val="7AFF21E4"/>
    <w:rsid w:val="7B7EC3A2"/>
    <w:rsid w:val="7C1F064D"/>
    <w:rsid w:val="7DBB9FDA"/>
    <w:rsid w:val="7E4FB8D5"/>
    <w:rsid w:val="7E6E4452"/>
    <w:rsid w:val="7F3DD669"/>
    <w:rsid w:val="7FE0122B"/>
    <w:rsid w:val="7FFF2EBA"/>
    <w:rsid w:val="97D6C3E0"/>
    <w:rsid w:val="CDF7FEA7"/>
    <w:rsid w:val="E1DB5338"/>
    <w:rsid w:val="EE396E33"/>
    <w:rsid w:val="EE7D4E26"/>
    <w:rsid w:val="F76FD043"/>
    <w:rsid w:val="FA87AF83"/>
    <w:rsid w:val="FEEF87BA"/>
    <w:rsid w:val="FF6F7B92"/>
    <w:rsid w:val="FFBA6652"/>
    <w:rsid w:val="FFDDB3C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qFormat="1" w:unhideWhenUsed="0" w:uiPriority="99"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8"/>
    <w:qFormat/>
    <w:uiPriority w:val="0"/>
    <w:pPr>
      <w:jc w:val="both"/>
      <w:textAlignment w:val="baseline"/>
    </w:pPr>
    <w:rPr>
      <w:rFonts w:ascii="Times New Roman" w:hAnsi="Times New Roman" w:eastAsia="宋体"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qFormat/>
    <w:uiPriority w:val="99"/>
    <w:pPr>
      <w:keepNext/>
      <w:keepLines/>
      <w:numPr>
        <w:ilvl w:val="2"/>
        <w:numId w:val="1"/>
      </w:numPr>
      <w:tabs>
        <w:tab w:val="left" w:pos="0"/>
      </w:tabs>
      <w:spacing w:line="413" w:lineRule="auto"/>
      <w:outlineLvl w:val="2"/>
    </w:pPr>
    <w:rPr>
      <w:b/>
      <w:sz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4">
    <w:name w:val="table of authorities"/>
    <w:basedOn w:val="1"/>
    <w:next w:val="1"/>
    <w:qFormat/>
    <w:uiPriority w:val="0"/>
    <w:pPr>
      <w:ind w:left="420" w:leftChars="200"/>
    </w:pPr>
    <w:rPr>
      <w:szCs w:val="20"/>
    </w:rPr>
  </w:style>
  <w:style w:type="paragraph" w:styleId="5">
    <w:name w:val="Body Text"/>
    <w:basedOn w:val="1"/>
    <w:next w:val="3"/>
    <w:qFormat/>
    <w:uiPriority w:val="99"/>
    <w:pPr>
      <w:spacing w:afterAutospacing="1"/>
      <w:ind w:left="101"/>
    </w:pPr>
    <w:rPr>
      <w:rFonts w:ascii="宋体" w:hAnsi="宋体"/>
      <w:sz w:val="29"/>
      <w:szCs w:val="29"/>
    </w:rPr>
  </w:style>
  <w:style w:type="paragraph" w:styleId="6">
    <w:name w:val="Body Text Indent"/>
    <w:basedOn w:val="1"/>
    <w:next w:val="5"/>
    <w:qFormat/>
    <w:uiPriority w:val="99"/>
    <w:pPr>
      <w:spacing w:after="120"/>
      <w:ind w:left="420" w:leftChars="200"/>
    </w:pPr>
  </w:style>
  <w:style w:type="paragraph" w:styleId="7">
    <w:name w:val="Body Text Indent 2"/>
    <w:basedOn w:val="1"/>
    <w:next w:val="8"/>
    <w:qFormat/>
    <w:uiPriority w:val="99"/>
    <w:pPr>
      <w:spacing w:after="120" w:line="480" w:lineRule="auto"/>
      <w:ind w:left="420" w:leftChars="200"/>
    </w:pPr>
  </w:style>
  <w:style w:type="paragraph" w:styleId="8">
    <w:name w:val="Body Text Indent 3"/>
    <w:basedOn w:val="1"/>
    <w:qFormat/>
    <w:uiPriority w:val="99"/>
    <w:pPr>
      <w:ind w:left="200" w:leftChars="200"/>
    </w:pPr>
    <w:rPr>
      <w:sz w:val="16"/>
    </w:rPr>
  </w:style>
  <w:style w:type="paragraph" w:styleId="9">
    <w:name w:val="footer"/>
    <w:basedOn w:val="1"/>
    <w:link w:val="28"/>
    <w:qFormat/>
    <w:uiPriority w:val="99"/>
    <w:pPr>
      <w:snapToGrid w:val="0"/>
      <w:jc w:val="left"/>
    </w:pPr>
    <w:rPr>
      <w:sz w:val="18"/>
      <w:szCs w:val="18"/>
    </w:rPr>
  </w:style>
  <w:style w:type="paragraph" w:styleId="10">
    <w:name w:val="header"/>
    <w:basedOn w:val="1"/>
    <w:qFormat/>
    <w:uiPriority w:val="0"/>
    <w:pPr>
      <w:pBdr>
        <w:bottom w:val="single" w:color="000000" w:sz="6" w:space="0"/>
      </w:pBdr>
      <w:snapToGrid w:val="0"/>
      <w:jc w:val="center"/>
    </w:pPr>
    <w:rPr>
      <w:sz w:val="18"/>
      <w:szCs w:val="18"/>
    </w:rPr>
  </w:style>
  <w:style w:type="paragraph" w:styleId="11">
    <w:name w:val="footnote text"/>
    <w:basedOn w:val="1"/>
    <w:semiHidden/>
    <w:qFormat/>
    <w:uiPriority w:val="0"/>
    <w:pPr>
      <w:snapToGrid w:val="0"/>
      <w:jc w:val="left"/>
    </w:pPr>
    <w:rPr>
      <w:sz w:val="18"/>
      <w:szCs w:val="18"/>
    </w:rPr>
  </w:style>
  <w:style w:type="paragraph" w:styleId="12">
    <w:name w:val="Normal (Web)"/>
    <w:basedOn w:val="1"/>
    <w:qFormat/>
    <w:uiPriority w:val="0"/>
    <w:pPr>
      <w:spacing w:beforeAutospacing="1" w:afterAutospacing="1"/>
      <w:jc w:val="left"/>
    </w:pPr>
    <w:rPr>
      <w:kern w:val="0"/>
      <w:sz w:val="24"/>
    </w:rPr>
  </w:style>
  <w:style w:type="paragraph" w:styleId="13">
    <w:name w:val="Body Text First Indent 2"/>
    <w:basedOn w:val="6"/>
    <w:next w:val="1"/>
    <w:qFormat/>
    <w:uiPriority w:val="99"/>
    <w:pPr>
      <w:ind w:left="0" w:leftChars="0" w:firstLine="880" w:firstLineChars="200"/>
    </w:pPr>
    <w:rPr>
      <w:rFonts w:eastAsia="仿宋_GB2312"/>
    </w:rPr>
  </w:style>
  <w:style w:type="character" w:styleId="16">
    <w:name w:val="Strong"/>
    <w:qFormat/>
    <w:uiPriority w:val="0"/>
    <w:rPr>
      <w:rFonts w:cs="Times New Roman"/>
      <w:b/>
      <w:bCs/>
    </w:rPr>
  </w:style>
  <w:style w:type="character" w:styleId="17">
    <w:name w:val="Hyperlink"/>
    <w:basedOn w:val="18"/>
    <w:semiHidden/>
    <w:qFormat/>
    <w:uiPriority w:val="0"/>
    <w:rPr>
      <w:color w:val="0000FF"/>
      <w:u w:val="single"/>
    </w:rPr>
  </w:style>
  <w:style w:type="character" w:customStyle="1" w:styleId="18">
    <w:name w:val="NormalCharacter"/>
    <w:link w:val="1"/>
    <w:semiHidden/>
    <w:qFormat/>
    <w:uiPriority w:val="0"/>
    <w:rPr>
      <w:rFonts w:ascii="Times New Roman" w:hAnsi="Times New Roman" w:eastAsia="宋体" w:cstheme="minorBidi"/>
      <w:kern w:val="2"/>
      <w:sz w:val="21"/>
      <w:szCs w:val="24"/>
      <w:lang w:val="en-US" w:eastAsia="zh-CN" w:bidi="ar-SA"/>
    </w:rPr>
  </w:style>
  <w:style w:type="paragraph" w:customStyle="1" w:styleId="19">
    <w:name w:val="Heading1"/>
    <w:basedOn w:val="1"/>
    <w:link w:val="25"/>
    <w:qFormat/>
    <w:uiPriority w:val="0"/>
    <w:pPr>
      <w:spacing w:before="100" w:beforeAutospacing="1" w:after="100" w:afterAutospacing="1"/>
      <w:jc w:val="left"/>
    </w:pPr>
    <w:rPr>
      <w:rFonts w:ascii="宋体" w:hAnsi="宋体" w:cs="宋体"/>
      <w:b/>
      <w:bCs/>
      <w:kern w:val="36"/>
      <w:sz w:val="48"/>
      <w:szCs w:val="48"/>
    </w:rPr>
  </w:style>
  <w:style w:type="table" w:customStyle="1" w:styleId="20">
    <w:name w:val="TableNormal"/>
    <w:semiHidden/>
    <w:qFormat/>
    <w:uiPriority w:val="0"/>
    <w:tblPr>
      <w:tblCellMar>
        <w:top w:w="0" w:type="dxa"/>
        <w:left w:w="0" w:type="dxa"/>
        <w:bottom w:w="0" w:type="dxa"/>
        <w:right w:w="0" w:type="dxa"/>
      </w:tblCellMar>
    </w:tblPr>
  </w:style>
  <w:style w:type="paragraph" w:customStyle="1" w:styleId="21">
    <w:name w:val="Acetate"/>
    <w:basedOn w:val="1"/>
    <w:qFormat/>
    <w:uiPriority w:val="0"/>
    <w:rPr>
      <w:sz w:val="18"/>
      <w:szCs w:val="18"/>
    </w:rPr>
  </w:style>
  <w:style w:type="paragraph" w:customStyle="1" w:styleId="22">
    <w:name w:val="UserStyle_0"/>
    <w:basedOn w:val="1"/>
    <w:next w:val="23"/>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23">
    <w:name w:val="UserStyle_1"/>
    <w:basedOn w:val="22"/>
    <w:next w:val="1"/>
    <w:qFormat/>
    <w:uiPriority w:val="0"/>
    <w:pPr>
      <w:spacing w:before="100" w:beforeAutospacing="1" w:after="100" w:afterAutospacing="1"/>
      <w:jc w:val="left"/>
    </w:pPr>
    <w:rPr>
      <w:rFonts w:ascii="黑体" w:hAnsi="宋体" w:eastAsia="黑体" w:cs="宋体"/>
      <w:kern w:val="0"/>
      <w:sz w:val="54"/>
      <w:szCs w:val="54"/>
    </w:rPr>
  </w:style>
  <w:style w:type="paragraph" w:customStyle="1" w:styleId="24">
    <w:name w:val="UserStyle_2"/>
    <w:basedOn w:val="1"/>
    <w:qFormat/>
    <w:uiPriority w:val="0"/>
    <w:pPr>
      <w:spacing w:before="100" w:beforeAutospacing="1" w:after="100" w:afterAutospacing="1"/>
      <w:jc w:val="left"/>
    </w:pPr>
    <w:rPr>
      <w:rFonts w:ascii="宋体" w:hAnsi="宋体"/>
      <w:kern w:val="0"/>
      <w:sz w:val="24"/>
    </w:rPr>
  </w:style>
  <w:style w:type="character" w:customStyle="1" w:styleId="25">
    <w:name w:val="UserStyle_3"/>
    <w:basedOn w:val="18"/>
    <w:link w:val="19"/>
    <w:qFormat/>
    <w:uiPriority w:val="0"/>
    <w:rPr>
      <w:rFonts w:ascii="宋体" w:hAnsi="宋体" w:cs="宋体"/>
      <w:b/>
      <w:bCs/>
      <w:kern w:val="36"/>
      <w:sz w:val="48"/>
      <w:szCs w:val="48"/>
    </w:rPr>
  </w:style>
  <w:style w:type="character" w:customStyle="1" w:styleId="26">
    <w:name w:val="UserStyle_4"/>
    <w:basedOn w:val="18"/>
    <w:qFormat/>
    <w:uiPriority w:val="0"/>
  </w:style>
  <w:style w:type="paragraph" w:customStyle="1" w:styleId="27">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8">
    <w:name w:val="页脚 Char"/>
    <w:basedOn w:val="15"/>
    <w:link w:val="9"/>
    <w:qFormat/>
    <w:uiPriority w:val="99"/>
    <w:rPr>
      <w:rFonts w:cstheme="minorBidi"/>
      <w:kern w:val="2"/>
      <w:sz w:val="18"/>
      <w:szCs w:val="18"/>
    </w:rPr>
  </w:style>
  <w:style w:type="paragraph" w:customStyle="1" w:styleId="29">
    <w:name w:val="正文-公1"/>
    <w:basedOn w:val="30"/>
    <w:next w:val="1"/>
    <w:qFormat/>
    <w:uiPriority w:val="99"/>
    <w:pPr>
      <w:ind w:firstLine="200" w:firstLineChars="200"/>
    </w:pPr>
    <w:rPr>
      <w:rFonts w:ascii="Calibri" w:hAnsi="Calibri"/>
    </w:rPr>
  </w:style>
  <w:style w:type="paragraph" w:customStyle="1" w:styleId="30">
    <w:name w:val="正文 New New New New New New New New New New New New New New New New New New New New New New New New New New New New New New New New New New New New New New New New New New New New New New New New New New New New New New New New New New New New New New Ne"/>
    <w:next w:val="29"/>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31">
    <w:name w:val="Body text|2"/>
    <w:basedOn w:val="1"/>
    <w:qFormat/>
    <w:uiPriority w:val="0"/>
    <w:pPr>
      <w:spacing w:after="300"/>
      <w:ind w:firstLine="740"/>
    </w:pPr>
    <w:rPr>
      <w:rFonts w:ascii="宋体" w:hAnsi="宋体" w:cs="宋体"/>
      <w:sz w:val="26"/>
      <w:szCs w:val="26"/>
      <w:lang w:val="zh-TW" w:eastAsia="zh-TW" w:bidi="zh-TW"/>
    </w:rPr>
  </w:style>
  <w:style w:type="paragraph" w:customStyle="1" w:styleId="32">
    <w:name w:val="正文文本首行缩进 2"/>
    <w:basedOn w:val="6"/>
    <w:qFormat/>
    <w:uiPriority w:val="0"/>
    <w:pPr>
      <w:ind w:firstLine="420" w:firstLineChars="200"/>
    </w:pPr>
    <w:rPr>
      <w:rFonts w:ascii="Calibri" w:hAnsi="Calibri" w:eastAsia="宋体" w:cs="宋体"/>
    </w:rPr>
  </w:style>
  <w:style w:type="paragraph" w:customStyle="1" w:styleId="33">
    <w:name w:val="BodyText2"/>
    <w:basedOn w:val="1"/>
    <w:qFormat/>
    <w:uiPriority w:val="0"/>
    <w:pPr>
      <w:widowControl/>
      <w:spacing w:after="120" w:line="480" w:lineRule="auto"/>
    </w:pPr>
    <w:rPr>
      <w:szCs w:val="22"/>
    </w:rPr>
  </w:style>
  <w:style w:type="paragraph" w:customStyle="1" w:styleId="34">
    <w:name w:val="TableOfAuthoring"/>
    <w:basedOn w:val="1"/>
    <w:next w:val="1"/>
    <w:qFormat/>
    <w:uiPriority w:val="0"/>
    <w:pPr>
      <w:ind w:left="420" w:leftChars="200"/>
      <w:jc w:val="both"/>
      <w:textAlignment w:val="baseline"/>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16</TotalTime>
  <ScaleCrop>false</ScaleCrop>
  <LinksUpToDate>false</LinksUpToDate>
  <CharactersWithSpaces>2054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2021-01-13T12:51:00Z</dcterms:created>
  <dc:creator>Administrator</dc:creator>
  <cp:lastModifiedBy>丘丘</cp:lastModifiedBy>
  <cp:lastPrinted>2022-01-08T06:15:57Z</cp:lastPrinted>
  <dcterms:modified xsi:type="dcterms:W3CDTF">2022-01-08T06:16:03Z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0BEFFA9D6DA34548976C4312CA596319</vt:lpwstr>
  </property>
</Properties>
</file>