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before="0" w:beforeAutospacing="0" w:after="0" w:afterAutospacing="0" w:line="600" w:lineRule="exact"/>
        <w:jc w:val="center"/>
        <w:rPr>
          <w:rStyle w:val="19"/>
          <w:rFonts w:ascii="黑体" w:eastAsia="黑体"/>
          <w:sz w:val="44"/>
          <w:szCs w:val="44"/>
        </w:rPr>
      </w:pPr>
      <w:r>
        <w:rPr>
          <w:rStyle w:val="17"/>
          <w:rFonts w:ascii="黑体" w:eastAsia="黑体" w:cs="宋体"/>
          <w:sz w:val="44"/>
          <w:szCs w:val="44"/>
        </w:rPr>
        <w:t>中国人民政治协商会议</w:t>
      </w:r>
    </w:p>
    <w:p>
      <w:pPr>
        <w:pStyle w:val="23"/>
        <w:spacing w:before="0" w:beforeAutospacing="0" w:after="0" w:afterAutospacing="0" w:line="600" w:lineRule="exact"/>
        <w:jc w:val="center"/>
        <w:rPr>
          <w:rStyle w:val="19"/>
          <w:rFonts w:hint="eastAsia"/>
          <w:sz w:val="44"/>
          <w:szCs w:val="44"/>
        </w:rPr>
      </w:pPr>
      <w:r>
        <w:rPr>
          <w:rStyle w:val="19"/>
          <w:sz w:val="44"/>
          <w:szCs w:val="44"/>
        </w:rPr>
        <w:t>黔东南苗族侗族自治州委员会</w:t>
      </w:r>
    </w:p>
    <w:p>
      <w:pPr>
        <w:pStyle w:val="23"/>
        <w:spacing w:before="0" w:beforeAutospacing="0" w:after="0" w:afterAutospacing="0" w:line="600" w:lineRule="exact"/>
        <w:jc w:val="center"/>
        <w:rPr>
          <w:rStyle w:val="19"/>
          <w:rFonts w:hint="eastAsia"/>
          <w:sz w:val="44"/>
          <w:szCs w:val="44"/>
        </w:rPr>
      </w:pPr>
      <w:r>
        <w:rPr>
          <w:rStyle w:val="19"/>
          <w:sz w:val="44"/>
          <w:szCs w:val="44"/>
        </w:rPr>
        <w:t>提</w:t>
      </w:r>
      <w:r>
        <w:rPr>
          <w:rStyle w:val="19"/>
          <w:rFonts w:hint="eastAsia"/>
          <w:sz w:val="44"/>
          <w:szCs w:val="44"/>
        </w:rPr>
        <w:t xml:space="preserve">   </w:t>
      </w:r>
      <w:r>
        <w:rPr>
          <w:rStyle w:val="19"/>
          <w:sz w:val="44"/>
          <w:szCs w:val="44"/>
        </w:rPr>
        <w:t>案</w:t>
      </w:r>
    </w:p>
    <w:p>
      <w:pPr>
        <w:spacing w:line="320" w:lineRule="exact"/>
        <w:jc w:val="center"/>
        <w:textAlignment w:val="top"/>
        <w:rPr>
          <w:rStyle w:val="19"/>
          <w:rFonts w:hint="eastAsia" w:ascii="宋体" w:hAnsi="宋体"/>
          <w:kern w:val="0"/>
          <w:sz w:val="24"/>
        </w:rPr>
      </w:pPr>
    </w:p>
    <w:p>
      <w:pPr>
        <w:spacing w:line="320" w:lineRule="exact"/>
        <w:jc w:val="center"/>
        <w:textAlignment w:val="top"/>
        <w:rPr>
          <w:rStyle w:val="19"/>
          <w:rFonts w:hint="eastAsia" w:ascii="宋体" w:hAnsi="宋体"/>
          <w:kern w:val="0"/>
          <w:sz w:val="24"/>
        </w:rPr>
      </w:pPr>
    </w:p>
    <w:p>
      <w:pPr>
        <w:spacing w:line="760" w:lineRule="exact"/>
        <w:jc w:val="both"/>
        <w:textAlignment w:val="top"/>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9"/>
          <w:rFonts w:hint="default" w:ascii="宋体" w:hAnsi="宋体" w:eastAsia="宋体"/>
          <w:kern w:val="0"/>
          <w:sz w:val="24"/>
          <w:lang w:val="en-US" w:eastAsia="zh-CN"/>
        </w:rPr>
      </w:pPr>
      <w:r>
        <w:rPr>
          <w:rStyle w:val="19"/>
          <w:rFonts w:ascii="宋体" w:hAnsi="宋体"/>
          <w:kern w:val="0"/>
          <w:sz w:val="24"/>
        </w:rPr>
        <w:t>第十</w:t>
      </w:r>
      <w:r>
        <w:rPr>
          <w:rStyle w:val="19"/>
          <w:rFonts w:hint="eastAsia" w:ascii="宋体" w:hAnsi="宋体"/>
          <w:kern w:val="0"/>
          <w:sz w:val="24"/>
          <w:lang w:val="en-US" w:eastAsia="zh-CN"/>
        </w:rPr>
        <w:t>三</w:t>
      </w:r>
      <w:r>
        <w:rPr>
          <w:rStyle w:val="19"/>
          <w:rFonts w:ascii="宋体" w:hAnsi="宋体"/>
          <w:kern w:val="0"/>
          <w:sz w:val="24"/>
        </w:rPr>
        <w:t>届第</w:t>
      </w:r>
      <w:r>
        <w:rPr>
          <w:rStyle w:val="19"/>
          <w:rFonts w:hint="eastAsia" w:ascii="宋体" w:hAnsi="宋体"/>
          <w:kern w:val="0"/>
          <w:sz w:val="24"/>
          <w:lang w:val="en-US" w:eastAsia="zh-CN"/>
        </w:rPr>
        <w:t>一</w:t>
      </w:r>
      <w:r>
        <w:rPr>
          <w:rStyle w:val="19"/>
          <w:rFonts w:ascii="宋体" w:hAnsi="宋体"/>
          <w:kern w:val="0"/>
          <w:sz w:val="24"/>
        </w:rPr>
        <w:t>次会议　       　第</w:t>
      </w:r>
      <w:r>
        <w:rPr>
          <w:rStyle w:val="19"/>
          <w:rFonts w:hint="eastAsia" w:ascii="宋体" w:hAnsi="宋体"/>
          <w:kern w:val="0"/>
          <w:sz w:val="24"/>
          <w:lang w:val="en-US" w:eastAsia="zh-CN"/>
        </w:rPr>
        <w:t>182</w:t>
      </w:r>
      <w:r>
        <w:rPr>
          <w:rStyle w:val="19"/>
          <w:rFonts w:ascii="宋体" w:hAnsi="宋体"/>
          <w:kern w:val="0"/>
          <w:sz w:val="24"/>
        </w:rPr>
        <w:t xml:space="preserve">号　    </w:t>
      </w:r>
      <w:r>
        <w:rPr>
          <w:rStyle w:val="19"/>
          <w:rFonts w:hint="eastAsia" w:ascii="宋体" w:hAnsi="宋体"/>
          <w:kern w:val="0"/>
          <w:sz w:val="24"/>
        </w:rPr>
        <w:t xml:space="preserve">    </w:t>
      </w:r>
      <w:r>
        <w:rPr>
          <w:rStyle w:val="19"/>
          <w:rFonts w:hint="eastAsia" w:ascii="宋体" w:hAnsi="宋体"/>
          <w:kern w:val="0"/>
          <w:sz w:val="24"/>
          <w:lang w:val="en-US" w:eastAsia="zh-CN"/>
        </w:rPr>
        <w:t xml:space="preserve"> 类别：政治建设类     </w:t>
      </w:r>
    </w:p>
    <w:p>
      <w:pPr>
        <w:spacing w:line="320" w:lineRule="exact"/>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案</w:t>
            </w:r>
            <w:r>
              <w:rPr>
                <w:rStyle w:val="19"/>
                <w:rFonts w:ascii="宋体" w:hAnsi="宋体" w:eastAsia="黑体" w:cs="宋体"/>
                <w:b/>
                <w:bCs/>
                <w:kern w:val="0"/>
                <w:sz w:val="24"/>
              </w:rPr>
              <w:t>  </w:t>
            </w:r>
            <w:r>
              <w:rPr>
                <w:rStyle w:val="19"/>
                <w:rFonts w:ascii="黑体" w:hAnsi="宋体" w:eastAsia="黑体" w:cs="宋体"/>
                <w:b/>
                <w:bCs/>
                <w:kern w:val="0"/>
                <w:sz w:val="24"/>
              </w:rPr>
              <w:t>由</w:t>
            </w:r>
            <w:r>
              <w:rPr>
                <w:rStyle w:val="19"/>
                <w:rFonts w:ascii="宋体" w:hAnsi="宋体" w:cs="宋体"/>
                <w:b/>
                <w:bCs/>
                <w:kern w:val="0"/>
                <w:sz w:val="24"/>
              </w:rPr>
              <w:t>：</w:t>
            </w:r>
          </w:p>
        </w:tc>
        <w:tc>
          <w:tcPr>
            <w:tcW w:w="6797"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Style w:val="19"/>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关于对改革完善临床医生职称评审的建议</w:t>
            </w:r>
          </w:p>
        </w:tc>
      </w:tr>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审查意见</w:t>
            </w:r>
            <w:r>
              <w:rPr>
                <w:rStyle w:val="19"/>
                <w:rFonts w:ascii="宋体" w:hAnsi="宋体" w:cs="宋体"/>
                <w:b/>
                <w:bCs/>
                <w:kern w:val="0"/>
                <w:sz w:val="24"/>
              </w:rPr>
              <w:t>：</w:t>
            </w:r>
          </w:p>
        </w:tc>
        <w:tc>
          <w:tcPr>
            <w:tcW w:w="6797" w:type="dxa"/>
            <w:gridSpan w:val="3"/>
            <w:vAlign w:val="center"/>
          </w:tcPr>
          <w:p>
            <w:pPr>
              <w:jc w:val="left"/>
              <w:rPr>
                <w:rStyle w:val="19"/>
                <w:rFonts w:hint="default" w:ascii="宋体" w:hAnsi="宋体"/>
                <w:kern w:val="0"/>
                <w:sz w:val="24"/>
                <w:lang w:val="en-US" w:eastAsia="zh-CN"/>
              </w:rPr>
            </w:pPr>
            <w:r>
              <w:rPr>
                <w:rStyle w:val="19"/>
                <w:rFonts w:hint="eastAsia" w:ascii="宋体" w:hAnsi="宋体"/>
                <w:kern w:val="0"/>
                <w:sz w:val="24"/>
                <w:szCs w:val="24"/>
                <w:lang w:eastAsia="zh-CN"/>
              </w:rPr>
              <w:t>主办：州人社局</w:t>
            </w:r>
            <w:r>
              <w:rPr>
                <w:rStyle w:val="19"/>
                <w:rFonts w:hint="eastAsia" w:ascii="宋体" w:hAnsi="宋体"/>
                <w:kern w:val="0"/>
                <w:sz w:val="24"/>
                <w:szCs w:val="24"/>
                <w:lang w:val="en-US" w:eastAsia="zh-CN"/>
              </w:rPr>
              <w:t xml:space="preserve">   会办：州卫生</w:t>
            </w:r>
            <w:bookmarkStart w:id="0" w:name="_GoBack"/>
            <w:bookmarkEnd w:id="0"/>
            <w:r>
              <w:rPr>
                <w:rStyle w:val="19"/>
                <w:rFonts w:hint="eastAsia" w:ascii="宋体" w:hAnsi="宋体"/>
                <w:kern w:val="0"/>
                <w:sz w:val="24"/>
                <w:szCs w:val="24"/>
                <w:lang w:val="en-US" w:eastAsia="zh-CN"/>
              </w:rPr>
              <w:t>健康局</w:t>
            </w:r>
          </w:p>
        </w:tc>
      </w:tr>
      <w:tr>
        <w:tblPrEx>
          <w:tblCellMar>
            <w:top w:w="0" w:type="dxa"/>
            <w:left w:w="15" w:type="dxa"/>
            <w:bottom w:w="0" w:type="dxa"/>
            <w:right w:w="15" w:type="dxa"/>
          </w:tblCellMar>
        </w:tblPrEx>
        <w:tc>
          <w:tcPr>
            <w:tcW w:w="1753" w:type="dxa"/>
            <w:vAlign w:val="center"/>
          </w:tcPr>
          <w:p>
            <w:pPr>
              <w:jc w:val="left"/>
              <w:rPr>
                <w:rStyle w:val="19"/>
                <w:rFonts w:ascii="黑体" w:hAnsi="宋体" w:eastAsia="黑体"/>
                <w:kern w:val="0"/>
                <w:sz w:val="24"/>
              </w:rPr>
            </w:pPr>
            <w:r>
              <w:rPr>
                <w:rStyle w:val="19"/>
                <w:rFonts w:ascii="黑体" w:hAnsi="宋体" w:eastAsia="黑体" w:cs="宋体"/>
                <w:b/>
                <w:bCs/>
                <w:kern w:val="0"/>
                <w:sz w:val="24"/>
              </w:rPr>
              <w:t>提</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案</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人</w:t>
            </w:r>
            <w:r>
              <w:rPr>
                <w:rStyle w:val="19"/>
                <w:rFonts w:ascii="宋体" w:hAnsi="宋体" w:eastAsia="黑体" w:cs="宋体"/>
                <w:b/>
                <w:bCs/>
                <w:kern w:val="0"/>
                <w:sz w:val="24"/>
              </w:rPr>
              <w:t>：</w:t>
            </w:r>
          </w:p>
        </w:tc>
        <w:tc>
          <w:tcPr>
            <w:tcW w:w="3872" w:type="dxa"/>
            <w:vAlign w:val="center"/>
          </w:tcPr>
          <w:p>
            <w:pPr>
              <w:jc w:val="left"/>
              <w:rPr>
                <w:rStyle w:val="19"/>
                <w:rFonts w:ascii="宋体" w:hAnsi="宋体"/>
                <w:kern w:val="0"/>
                <w:sz w:val="24"/>
              </w:rPr>
            </w:pPr>
            <w:r>
              <w:rPr>
                <w:rStyle w:val="19"/>
                <w:rFonts w:ascii="宋体" w:hAnsi="宋体" w:cs="宋体"/>
                <w:b/>
                <w:bCs/>
                <w:kern w:val="0"/>
                <w:sz w:val="24"/>
              </w:rPr>
              <w:t>通讯地址</w:t>
            </w:r>
          </w:p>
        </w:tc>
        <w:tc>
          <w:tcPr>
            <w:tcW w:w="1440" w:type="dxa"/>
            <w:vAlign w:val="center"/>
          </w:tcPr>
          <w:p>
            <w:pPr>
              <w:jc w:val="left"/>
              <w:rPr>
                <w:rStyle w:val="19"/>
                <w:rFonts w:ascii="宋体" w:hAnsi="宋体"/>
                <w:kern w:val="0"/>
                <w:sz w:val="24"/>
              </w:rPr>
            </w:pPr>
            <w:r>
              <w:rPr>
                <w:rStyle w:val="19"/>
                <w:rFonts w:ascii="宋体" w:hAnsi="宋体" w:cs="宋体"/>
                <w:b/>
                <w:bCs/>
                <w:kern w:val="0"/>
                <w:sz w:val="24"/>
              </w:rPr>
              <w:t>邮政编码</w:t>
            </w:r>
          </w:p>
        </w:tc>
        <w:tc>
          <w:tcPr>
            <w:tcW w:w="1485" w:type="dxa"/>
            <w:vAlign w:val="center"/>
          </w:tcPr>
          <w:p>
            <w:pPr>
              <w:jc w:val="left"/>
              <w:rPr>
                <w:rStyle w:val="19"/>
                <w:rFonts w:ascii="宋体" w:hAnsi="宋体"/>
                <w:kern w:val="0"/>
                <w:sz w:val="24"/>
              </w:rPr>
            </w:pPr>
            <w:r>
              <w:rPr>
                <w:rStyle w:val="1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宋体" w:hAnsi="宋体"/>
                <w:kern w:val="0"/>
                <w:sz w:val="21"/>
                <w:szCs w:val="21"/>
                <w:lang w:eastAsia="zh-CN"/>
              </w:rPr>
              <w:t>马国英</w:t>
            </w:r>
          </w:p>
        </w:tc>
        <w:tc>
          <w:tcPr>
            <w:tcW w:w="3872"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1"/>
                <w:szCs w:val="21"/>
                <w:lang w:val="en-US" w:eastAsia="zh-CN"/>
              </w:rPr>
              <w:t>州人民医院肾内科</w:t>
            </w:r>
          </w:p>
        </w:tc>
        <w:tc>
          <w:tcPr>
            <w:tcW w:w="1440"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rPr>
              <w:t>55</w:t>
            </w:r>
            <w:r>
              <w:rPr>
                <w:rStyle w:val="19"/>
                <w:rFonts w:hint="eastAsia" w:ascii="宋体" w:hAnsi="宋体"/>
                <w:kern w:val="0"/>
                <w:sz w:val="24"/>
                <w:lang w:val="en-US" w:eastAsia="zh-CN"/>
              </w:rPr>
              <w:t>6000</w:t>
            </w:r>
          </w:p>
        </w:tc>
        <w:tc>
          <w:tcPr>
            <w:tcW w:w="1485"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lang w:val="en-US" w:eastAsia="zh-CN"/>
              </w:rPr>
              <w:t>18985839588</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9"/>
                <w:rFonts w:hint="eastAsia" w:ascii="宋体" w:hAnsi="宋体"/>
                <w:kern w:val="0"/>
                <w:sz w:val="24"/>
                <w:lang w:val="en-US" w:eastAsia="zh-CN"/>
              </w:rPr>
            </w:pPr>
            <w:r>
              <w:rPr>
                <w:rStyle w:val="19"/>
                <w:rFonts w:hint="eastAsia" w:ascii="宋体" w:hAnsi="宋体"/>
                <w:kern w:val="0"/>
                <w:sz w:val="24"/>
                <w:lang w:eastAsia="zh-CN"/>
              </w:rPr>
              <w:t>州委办秘书五科：</w:t>
            </w:r>
            <w:r>
              <w:rPr>
                <w:rStyle w:val="19"/>
                <w:rFonts w:hint="eastAsia" w:ascii="宋体" w:hAnsi="宋体"/>
                <w:kern w:val="0"/>
                <w:sz w:val="24"/>
                <w:lang w:val="en-US" w:eastAsia="zh-CN"/>
              </w:rPr>
              <w:t>8270060；</w:t>
            </w:r>
            <w:r>
              <w:rPr>
                <w:rStyle w:val="19"/>
                <w:rFonts w:hint="eastAsia" w:ascii="宋体" w:hAnsi="宋体"/>
                <w:kern w:val="0"/>
                <w:sz w:val="24"/>
                <w:lang w:eastAsia="zh-CN"/>
              </w:rPr>
              <w:t>州政府办建议提案科：</w:t>
            </w:r>
            <w:r>
              <w:rPr>
                <w:rStyle w:val="19"/>
                <w:rFonts w:hint="eastAsia" w:ascii="宋体" w:hAnsi="宋体"/>
                <w:kern w:val="0"/>
                <w:sz w:val="24"/>
                <w:lang w:val="en-US" w:eastAsia="zh-CN"/>
              </w:rPr>
              <w:t>8260016；</w:t>
            </w:r>
          </w:p>
          <w:p>
            <w:pPr>
              <w:jc w:val="left"/>
              <w:rPr>
                <w:rStyle w:val="19"/>
                <w:rFonts w:hint="default" w:ascii="宋体" w:hAnsi="宋体"/>
                <w:kern w:val="0"/>
                <w:sz w:val="24"/>
                <w:lang w:val="en-US"/>
              </w:rPr>
            </w:pPr>
            <w:r>
              <w:rPr>
                <w:rStyle w:val="19"/>
                <w:rFonts w:hint="eastAsia" w:ascii="宋体" w:hAnsi="宋体"/>
                <w:kern w:val="0"/>
                <w:sz w:val="24"/>
                <w:lang w:eastAsia="zh-CN"/>
              </w:rPr>
              <w:t>州政协提案委：</w:t>
            </w:r>
            <w:r>
              <w:rPr>
                <w:rStyle w:val="19"/>
                <w:rFonts w:hint="eastAsia" w:ascii="宋体" w:hAnsi="宋体"/>
                <w:kern w:val="0"/>
                <w:sz w:val="24"/>
                <w:lang w:val="en-US" w:eastAsia="zh-CN"/>
              </w:rPr>
              <w:t>8428866</w:t>
            </w:r>
            <w:r>
              <w:rPr>
                <w:rStyle w:val="19"/>
                <w:rFonts w:hint="eastAsia" w:ascii="宋体" w:hAnsi="宋体"/>
                <w:kern w:val="0"/>
                <w:sz w:val="24"/>
                <w:lang w:eastAsia="zh-CN"/>
              </w:rPr>
              <w:t>。</w:t>
            </w:r>
          </w:p>
        </w:tc>
      </w:tr>
    </w:tbl>
    <w:p>
      <w:pPr>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spacing w:line="560" w:lineRule="exact"/>
        <w:rPr>
          <w:rStyle w:val="19"/>
          <w:rFonts w:hint="eastAsia" w:ascii="仿宋_GB2312" w:hAnsi="宋体" w:eastAsia="仿宋_GB2312"/>
          <w:kern w:val="0"/>
          <w:sz w:val="32"/>
          <w:szCs w:val="32"/>
        </w:rPr>
      </w:pPr>
      <w:r>
        <w:rPr>
          <w:rStyle w:val="19"/>
          <w:rFonts w:hint="eastAsia" w:ascii="仿宋_GB2312" w:hAnsi="宋体" w:eastAsia="仿宋_GB2312"/>
          <w:kern w:val="0"/>
          <w:sz w:val="32"/>
          <w:szCs w:val="32"/>
        </w:rPr>
        <w:t>内容和办法</w:t>
      </w:r>
      <w:r>
        <w:rPr>
          <w:rStyle w:val="19"/>
          <w:rFonts w:hint="eastAsia" w:ascii="仿宋_GB2312" w:hAnsi="宋体" w:eastAsia="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3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近年来，临床医生职称晋升的硬条件除要满足规定任职年限外，要求还有连续1年和间断2年基层服务证明，</w:t>
      </w:r>
      <w:r>
        <w:rPr>
          <w:rFonts w:hint="eastAsia" w:ascii="仿宋_GB2312" w:hAnsi="仿宋_GB2312" w:eastAsia="仿宋_GB2312" w:cs="仿宋_GB2312"/>
          <w:b w:val="0"/>
          <w:bCs w:val="0"/>
          <w:sz w:val="32"/>
          <w:szCs w:val="32"/>
          <w:lang w:eastAsia="zh-CN"/>
        </w:rPr>
        <w:t>以及</w:t>
      </w:r>
      <w:r>
        <w:rPr>
          <w:rFonts w:hint="eastAsia" w:ascii="仿宋_GB2312" w:hAnsi="仿宋_GB2312" w:eastAsia="仿宋_GB2312" w:cs="仿宋_GB2312"/>
          <w:b w:val="0"/>
          <w:bCs w:val="0"/>
          <w:sz w:val="32"/>
          <w:szCs w:val="32"/>
        </w:rPr>
        <w:t>必须满足如：科研、发明专利、获得州级以上荣誉等等“9+2”模式，忽视了对临床能力的要求。</w:t>
      </w:r>
    </w:p>
    <w:p>
      <w:pPr>
        <w:keepNext w:val="0"/>
        <w:keepLines w:val="0"/>
        <w:pageBreakBefore w:val="0"/>
        <w:widowControl w:val="0"/>
        <w:kinsoku/>
        <w:wordWrap/>
        <w:overflowPunct/>
        <w:topLinePunct w:val="0"/>
        <w:autoSpaceDE/>
        <w:autoSpaceDN/>
        <w:bidi w:val="0"/>
        <w:adjustRightInd/>
        <w:snapToGrid/>
        <w:spacing w:line="560" w:lineRule="exact"/>
        <w:ind w:firstLine="53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基层医院的医生获得州级以上荣誉的机会少之又少，获得省级以上的科研成果和省级以上的奖励更是难上加难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这种现象制约了基层医院晋升高级职称的机会，造成了实用型专利和科研等作假现象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基层临床医生不断拥向省城</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 xml:space="preserve">造成基层医院人才梯队的不完善。    </w:t>
      </w:r>
    </w:p>
    <w:p>
      <w:pPr>
        <w:keepNext w:val="0"/>
        <w:keepLines w:val="0"/>
        <w:pageBreakBefore w:val="0"/>
        <w:widowControl w:val="0"/>
        <w:kinsoku/>
        <w:wordWrap/>
        <w:overflowPunct/>
        <w:topLinePunct w:val="0"/>
        <w:autoSpaceDE/>
        <w:autoSpaceDN/>
        <w:bidi w:val="0"/>
        <w:adjustRightInd/>
        <w:snapToGrid/>
        <w:spacing w:line="560" w:lineRule="exact"/>
        <w:ind w:firstLine="53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建议：</w:t>
      </w:r>
    </w:p>
    <w:p>
      <w:pPr>
        <w:keepNext w:val="0"/>
        <w:keepLines w:val="0"/>
        <w:pageBreakBefore w:val="0"/>
        <w:widowControl w:val="0"/>
        <w:kinsoku/>
        <w:wordWrap/>
        <w:overflowPunct/>
        <w:topLinePunct w:val="0"/>
        <w:autoSpaceDE/>
        <w:autoSpaceDN/>
        <w:bidi w:val="0"/>
        <w:adjustRightInd/>
        <w:snapToGrid/>
        <w:spacing w:line="560" w:lineRule="exact"/>
        <w:ind w:firstLine="53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1、临床医生职称晋升要结合实际工作，重水平、重质量、重业绩，充分发挥职称工作导向作用，实行成果代表作制度，引导医生回归临床。</w:t>
      </w:r>
    </w:p>
    <w:p>
      <w:pPr>
        <w:keepNext w:val="0"/>
        <w:keepLines w:val="0"/>
        <w:pageBreakBefore w:val="0"/>
        <w:widowControl w:val="0"/>
        <w:kinsoku/>
        <w:wordWrap/>
        <w:overflowPunct/>
        <w:topLinePunct w:val="0"/>
        <w:autoSpaceDE/>
        <w:autoSpaceDN/>
        <w:bidi w:val="0"/>
        <w:adjustRightInd/>
        <w:snapToGrid/>
        <w:spacing w:line="560" w:lineRule="exact"/>
        <w:ind w:firstLine="470" w:firstLineChars="147"/>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2、依据医疗卫生机构功能定位和分级诊疗的要求，对不同层次医疗机构卫生专业技术人员的评审标准有所区别，重点加强对常见病、多发病诊疗、护理和康复等任务，以及公共服务等任务的考核评价。</w:t>
      </w:r>
    </w:p>
    <w:p>
      <w:pPr>
        <w:keepNext w:val="0"/>
        <w:keepLines w:val="0"/>
        <w:pageBreakBefore w:val="0"/>
        <w:widowControl w:val="0"/>
        <w:kinsoku/>
        <w:wordWrap/>
        <w:overflowPunct/>
        <w:topLinePunct w:val="0"/>
        <w:autoSpaceDE/>
        <w:autoSpaceDN/>
        <w:bidi w:val="0"/>
        <w:adjustRightInd/>
        <w:snapToGrid/>
        <w:spacing w:line="560" w:lineRule="exact"/>
        <w:ind w:firstLine="53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3、临床医生职称晋升分层分类评价，突出能力业绩导向，将临床工作数量、工作时间和对本地区医疗卫生发展有一定影响等临床工作能力作为申报条件，特别是对二、三级岗位聘用条件应结合我州情况而定。</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9"/>
          <w:rFonts w:hint="default"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仿宋">
    <w:altName w:val="汉仪仿宋简"/>
    <w:panose1 w:val="02010600040001010101"/>
    <w:charset w:val="00"/>
    <w:family w:val="auto"/>
    <w:pitch w:val="default"/>
    <w:sig w:usb0="00000000" w:usb1="00000000" w:usb2="00000000" w:usb3="00000000" w:csb0="0004009F" w:csb1="DFD70000"/>
  </w:font>
  <w:font w:name="汉仪仿宋简">
    <w:panose1 w:val="02010600000101010101"/>
    <w:charset w:val="86"/>
    <w:family w:val="auto"/>
    <w:pitch w:val="default"/>
    <w:sig w:usb0="00000001" w:usb1="080E0800" w:usb2="00000002"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方正黑体简体">
    <w:altName w:val="方正黑体_GBK"/>
    <w:panose1 w:val="02010601030101010101"/>
    <w:charset w:val="86"/>
    <w:family w:val="auto"/>
    <w:pitch w:val="default"/>
    <w:sig w:usb0="00000000" w:usb1="00000000" w:usb2="00000000" w:usb3="00000000" w:csb0="00040000" w:csb1="00000000"/>
  </w:font>
  <w:font w:name="方正仿宋简体">
    <w:altName w:val="方正仿宋_GBK"/>
    <w:panose1 w:val="02010601030101010101"/>
    <w:charset w:val="86"/>
    <w:family w:val="auto"/>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简体">
    <w:altName w:val="方正楷体_GBK"/>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Style w:val="1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4"/>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3FFFB32C"/>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854075C"/>
    <w:rsid w:val="69A37ABB"/>
    <w:rsid w:val="6B6BD482"/>
    <w:rsid w:val="6B9B22E1"/>
    <w:rsid w:val="762A4BFD"/>
    <w:rsid w:val="77DEC814"/>
    <w:rsid w:val="7AFF21E4"/>
    <w:rsid w:val="7B7EC3A2"/>
    <w:rsid w:val="7C1F064D"/>
    <w:rsid w:val="7DBB9FDA"/>
    <w:rsid w:val="7E6E4452"/>
    <w:rsid w:val="7F3DD669"/>
    <w:rsid w:val="7FE0122B"/>
    <w:rsid w:val="7FFF2EBA"/>
    <w:rsid w:val="E1DB5338"/>
    <w:rsid w:val="EE7D4E26"/>
    <w:rsid w:val="FA87AF83"/>
    <w:rsid w:val="FEEF8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9"/>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4">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1"/>
    <w:qFormat/>
    <w:uiPriority w:val="99"/>
    <w:pPr>
      <w:ind w:firstLine="200" w:firstLineChars="200"/>
    </w:pPr>
    <w:rPr>
      <w:rFonts w:ascii="Calibri" w:hAnsi="Calibri"/>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5">
    <w:name w:val="table of authorities"/>
    <w:basedOn w:val="1"/>
    <w:next w:val="1"/>
    <w:qFormat/>
    <w:uiPriority w:val="0"/>
    <w:pPr>
      <w:ind w:left="420" w:leftChars="200"/>
    </w:pPr>
    <w:rPr>
      <w:szCs w:val="20"/>
    </w:rPr>
  </w:style>
  <w:style w:type="paragraph" w:styleId="6">
    <w:name w:val="Body Text"/>
    <w:basedOn w:val="1"/>
    <w:next w:val="4"/>
    <w:qFormat/>
    <w:uiPriority w:val="99"/>
    <w:pPr>
      <w:spacing w:afterAutospacing="1"/>
      <w:ind w:left="101"/>
    </w:pPr>
    <w:rPr>
      <w:rFonts w:ascii="宋体" w:hAnsi="宋体"/>
      <w:sz w:val="29"/>
      <w:szCs w:val="29"/>
    </w:rPr>
  </w:style>
  <w:style w:type="paragraph" w:styleId="7">
    <w:name w:val="Body Text Indent"/>
    <w:basedOn w:val="1"/>
    <w:next w:val="6"/>
    <w:qFormat/>
    <w:uiPriority w:val="99"/>
    <w:pPr>
      <w:spacing w:after="120"/>
      <w:ind w:left="420" w:leftChars="200"/>
    </w:pPr>
  </w:style>
  <w:style w:type="paragraph" w:styleId="8">
    <w:name w:val="Body Text Indent 2"/>
    <w:basedOn w:val="1"/>
    <w:next w:val="9"/>
    <w:qFormat/>
    <w:uiPriority w:val="99"/>
    <w:pPr>
      <w:spacing w:after="120" w:line="480" w:lineRule="auto"/>
      <w:ind w:left="420" w:leftChars="200"/>
    </w:pPr>
  </w:style>
  <w:style w:type="paragraph" w:styleId="9">
    <w:name w:val="Body Text Indent 3"/>
    <w:basedOn w:val="1"/>
    <w:qFormat/>
    <w:uiPriority w:val="99"/>
    <w:pPr>
      <w:ind w:left="200" w:leftChars="200"/>
    </w:pPr>
    <w:rPr>
      <w:sz w:val="16"/>
    </w:rPr>
  </w:style>
  <w:style w:type="paragraph" w:styleId="10">
    <w:name w:val="footer"/>
    <w:basedOn w:val="1"/>
    <w:link w:val="29"/>
    <w:qFormat/>
    <w:uiPriority w:val="99"/>
    <w:pPr>
      <w:snapToGrid w:val="0"/>
      <w:jc w:val="left"/>
    </w:pPr>
    <w:rPr>
      <w:sz w:val="18"/>
      <w:szCs w:val="18"/>
    </w:rPr>
  </w:style>
  <w:style w:type="paragraph" w:styleId="11">
    <w:name w:val="header"/>
    <w:basedOn w:val="1"/>
    <w:qFormat/>
    <w:uiPriority w:val="0"/>
    <w:pPr>
      <w:pBdr>
        <w:bottom w:val="single" w:color="000000" w:sz="6" w:space="0"/>
      </w:pBdr>
      <w:snapToGrid w:val="0"/>
      <w:jc w:val="center"/>
    </w:pPr>
    <w:rPr>
      <w:sz w:val="18"/>
      <w:szCs w:val="18"/>
    </w:rPr>
  </w:style>
  <w:style w:type="paragraph" w:styleId="12">
    <w:name w:val="footnote text"/>
    <w:basedOn w:val="1"/>
    <w:semiHidden/>
    <w:qFormat/>
    <w:uiPriority w:val="0"/>
    <w:pPr>
      <w:snapToGrid w:val="0"/>
      <w:jc w:val="left"/>
    </w:pPr>
    <w:rPr>
      <w:sz w:val="18"/>
      <w:szCs w:val="18"/>
    </w:rPr>
  </w:style>
  <w:style w:type="paragraph" w:styleId="13">
    <w:name w:val="Normal (Web)"/>
    <w:basedOn w:val="1"/>
    <w:qFormat/>
    <w:uiPriority w:val="0"/>
    <w:pPr>
      <w:spacing w:beforeAutospacing="1" w:afterAutospacing="1"/>
      <w:jc w:val="left"/>
    </w:pPr>
    <w:rPr>
      <w:kern w:val="0"/>
      <w:sz w:val="24"/>
    </w:rPr>
  </w:style>
  <w:style w:type="paragraph" w:styleId="14">
    <w:name w:val="Body Text First Indent 2"/>
    <w:basedOn w:val="7"/>
    <w:next w:val="1"/>
    <w:qFormat/>
    <w:uiPriority w:val="99"/>
    <w:pPr>
      <w:ind w:left="0" w:leftChars="0" w:firstLine="880" w:firstLineChars="200"/>
    </w:pPr>
    <w:rPr>
      <w:rFonts w:eastAsia="仿宋_GB2312"/>
    </w:rPr>
  </w:style>
  <w:style w:type="character" w:styleId="17">
    <w:name w:val="Strong"/>
    <w:qFormat/>
    <w:uiPriority w:val="0"/>
    <w:rPr>
      <w:rFonts w:cs="Times New Roman"/>
      <w:b/>
      <w:bCs/>
    </w:rPr>
  </w:style>
  <w:style w:type="character" w:styleId="18">
    <w:name w:val="Hyperlink"/>
    <w:basedOn w:val="19"/>
    <w:semiHidden/>
    <w:qFormat/>
    <w:uiPriority w:val="0"/>
    <w:rPr>
      <w:color w:val="0000FF"/>
      <w:u w:val="single"/>
    </w:rPr>
  </w:style>
  <w:style w:type="character" w:customStyle="1" w:styleId="19">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20">
    <w:name w:val="Heading1"/>
    <w:basedOn w:val="1"/>
    <w:link w:val="26"/>
    <w:qFormat/>
    <w:uiPriority w:val="0"/>
    <w:pPr>
      <w:spacing w:before="100" w:beforeAutospacing="1" w:after="100" w:afterAutospacing="1"/>
      <w:jc w:val="left"/>
    </w:pPr>
    <w:rPr>
      <w:rFonts w:ascii="宋体" w:hAnsi="宋体" w:cs="宋体"/>
      <w:b/>
      <w:bCs/>
      <w:kern w:val="36"/>
      <w:sz w:val="48"/>
      <w:szCs w:val="48"/>
    </w:rPr>
  </w:style>
  <w:style w:type="table" w:customStyle="1" w:styleId="21">
    <w:name w:val="TableNormal"/>
    <w:semiHidden/>
    <w:qFormat/>
    <w:uiPriority w:val="0"/>
    <w:tblPr>
      <w:tblCellMar>
        <w:top w:w="0" w:type="dxa"/>
        <w:left w:w="0" w:type="dxa"/>
        <w:bottom w:w="0" w:type="dxa"/>
        <w:right w:w="0" w:type="dxa"/>
      </w:tblCellMar>
    </w:tblPr>
  </w:style>
  <w:style w:type="paragraph" w:customStyle="1" w:styleId="22">
    <w:name w:val="Acetate"/>
    <w:basedOn w:val="1"/>
    <w:qFormat/>
    <w:uiPriority w:val="0"/>
    <w:rPr>
      <w:sz w:val="18"/>
      <w:szCs w:val="18"/>
    </w:rPr>
  </w:style>
  <w:style w:type="paragraph" w:customStyle="1" w:styleId="23">
    <w:name w:val="UserStyle_0"/>
    <w:basedOn w:val="1"/>
    <w:next w:val="24"/>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4">
    <w:name w:val="UserStyle_1"/>
    <w:basedOn w:val="23"/>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5">
    <w:name w:val="UserStyle_2"/>
    <w:basedOn w:val="1"/>
    <w:qFormat/>
    <w:uiPriority w:val="0"/>
    <w:pPr>
      <w:spacing w:before="100" w:beforeAutospacing="1" w:after="100" w:afterAutospacing="1"/>
      <w:jc w:val="left"/>
    </w:pPr>
    <w:rPr>
      <w:rFonts w:ascii="宋体" w:hAnsi="宋体"/>
      <w:kern w:val="0"/>
      <w:sz w:val="24"/>
    </w:rPr>
  </w:style>
  <w:style w:type="character" w:customStyle="1" w:styleId="26">
    <w:name w:val="UserStyle_3"/>
    <w:basedOn w:val="19"/>
    <w:link w:val="20"/>
    <w:qFormat/>
    <w:uiPriority w:val="0"/>
    <w:rPr>
      <w:rFonts w:ascii="宋体" w:hAnsi="宋体" w:cs="宋体"/>
      <w:b/>
      <w:bCs/>
      <w:kern w:val="36"/>
      <w:sz w:val="48"/>
      <w:szCs w:val="48"/>
    </w:rPr>
  </w:style>
  <w:style w:type="character" w:customStyle="1" w:styleId="27">
    <w:name w:val="UserStyle_4"/>
    <w:basedOn w:val="19"/>
    <w:qFormat/>
    <w:uiPriority w:val="0"/>
  </w:style>
  <w:style w:type="paragraph" w:customStyle="1" w:styleId="2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9">
    <w:name w:val="页脚 Char"/>
    <w:basedOn w:val="16"/>
    <w:link w:val="10"/>
    <w:qFormat/>
    <w:uiPriority w:val="99"/>
    <w:rPr>
      <w:rFonts w:cstheme="minorBidi"/>
      <w:kern w:val="2"/>
      <w:sz w:val="18"/>
      <w:szCs w:val="18"/>
    </w:rPr>
  </w:style>
  <w:style w:type="paragraph" w:customStyle="1" w:styleId="30">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1">
    <w:name w:val="正文文本首行缩进 2"/>
    <w:basedOn w:val="7"/>
    <w:qFormat/>
    <w:uiPriority w:val="0"/>
    <w:pPr>
      <w:ind w:firstLine="420" w:firstLineChars="200"/>
    </w:pPr>
    <w:rPr>
      <w:rFonts w:ascii="Calibri" w:hAnsi="Calibri" w:eastAsia="宋体" w:cs="宋体"/>
    </w:rPr>
  </w:style>
  <w:style w:type="paragraph" w:customStyle="1" w:styleId="32">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ysgz</cp:lastModifiedBy>
  <cp:lastPrinted>2022-01-06T09:09:47Z</cp:lastPrinted>
  <dcterms:modified xsi:type="dcterms:W3CDTF">2022-01-06T09:10:21Z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