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2"/>
          <w:rFonts w:ascii="黑体" w:eastAsia="黑体"/>
          <w:sz w:val="44"/>
          <w:szCs w:val="44"/>
        </w:rPr>
      </w:pPr>
      <w:r>
        <w:rPr>
          <w:rStyle w:val="10"/>
          <w:rFonts w:ascii="黑体" w:eastAsia="黑体" w:cs="宋体"/>
          <w:sz w:val="44"/>
          <w:szCs w:val="44"/>
        </w:rPr>
        <w:t>中国人民政治协商会议</w:t>
      </w:r>
    </w:p>
    <w:p>
      <w:pPr>
        <w:pStyle w:val="16"/>
        <w:spacing w:before="0" w:beforeAutospacing="0" w:after="0" w:afterAutospacing="0" w:line="600" w:lineRule="exact"/>
        <w:jc w:val="center"/>
        <w:rPr>
          <w:rStyle w:val="12"/>
          <w:rFonts w:hint="eastAsia"/>
          <w:sz w:val="44"/>
          <w:szCs w:val="44"/>
        </w:rPr>
      </w:pPr>
      <w:r>
        <w:rPr>
          <w:rStyle w:val="12"/>
          <w:sz w:val="44"/>
          <w:szCs w:val="44"/>
        </w:rPr>
        <w:t>黔东南苗族侗族自治州委员会</w:t>
      </w:r>
    </w:p>
    <w:p>
      <w:pPr>
        <w:pStyle w:val="16"/>
        <w:spacing w:before="0" w:beforeAutospacing="0" w:after="0" w:afterAutospacing="0" w:line="600" w:lineRule="exact"/>
        <w:jc w:val="center"/>
        <w:rPr>
          <w:rStyle w:val="12"/>
          <w:rFonts w:hint="eastAsia"/>
          <w:sz w:val="44"/>
          <w:szCs w:val="44"/>
        </w:rPr>
      </w:pPr>
      <w:r>
        <w:rPr>
          <w:rStyle w:val="12"/>
          <w:sz w:val="44"/>
          <w:szCs w:val="44"/>
        </w:rPr>
        <w:t>提</w:t>
      </w:r>
      <w:r>
        <w:rPr>
          <w:rStyle w:val="12"/>
          <w:rFonts w:hint="eastAsia"/>
          <w:sz w:val="44"/>
          <w:szCs w:val="44"/>
        </w:rPr>
        <w:t xml:space="preserve">   </w:t>
      </w:r>
      <w:r>
        <w:rPr>
          <w:rStyle w:val="12"/>
          <w:sz w:val="44"/>
          <w:szCs w:val="44"/>
        </w:rPr>
        <w:t>案</w:t>
      </w:r>
    </w:p>
    <w:p>
      <w:pPr>
        <w:spacing w:line="320" w:lineRule="exact"/>
        <w:jc w:val="center"/>
        <w:textAlignment w:val="top"/>
        <w:rPr>
          <w:rStyle w:val="12"/>
          <w:rFonts w:hint="eastAsia" w:ascii="宋体" w:hAnsi="宋体"/>
          <w:kern w:val="0"/>
          <w:sz w:val="24"/>
        </w:rPr>
      </w:pPr>
    </w:p>
    <w:p>
      <w:pPr>
        <w:spacing w:line="320" w:lineRule="exact"/>
        <w:jc w:val="center"/>
        <w:textAlignment w:val="top"/>
        <w:rPr>
          <w:rStyle w:val="12"/>
          <w:rFonts w:hint="eastAsia" w:ascii="宋体" w:hAnsi="宋体"/>
          <w:kern w:val="0"/>
          <w:sz w:val="24"/>
        </w:rPr>
      </w:pPr>
    </w:p>
    <w:p>
      <w:pPr>
        <w:spacing w:line="760" w:lineRule="exact"/>
        <w:jc w:val="both"/>
        <w:textAlignment w:val="top"/>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2"/>
          <w:rFonts w:hint="default" w:ascii="宋体" w:hAnsi="宋体" w:eastAsia="宋体"/>
          <w:kern w:val="0"/>
          <w:sz w:val="24"/>
          <w:lang w:val="en-US" w:eastAsia="zh-CN"/>
        </w:rPr>
      </w:pPr>
      <w:r>
        <w:rPr>
          <w:rStyle w:val="12"/>
          <w:rFonts w:ascii="宋体" w:hAnsi="宋体"/>
          <w:kern w:val="0"/>
          <w:sz w:val="24"/>
        </w:rPr>
        <w:t>第十</w:t>
      </w:r>
      <w:r>
        <w:rPr>
          <w:rStyle w:val="12"/>
          <w:rFonts w:hint="eastAsia" w:ascii="宋体" w:hAnsi="宋体"/>
          <w:kern w:val="0"/>
          <w:sz w:val="24"/>
          <w:lang w:val="en-US" w:eastAsia="zh-CN"/>
        </w:rPr>
        <w:t>三</w:t>
      </w:r>
      <w:r>
        <w:rPr>
          <w:rStyle w:val="12"/>
          <w:rFonts w:ascii="宋体" w:hAnsi="宋体"/>
          <w:kern w:val="0"/>
          <w:sz w:val="24"/>
        </w:rPr>
        <w:t>届第</w:t>
      </w:r>
      <w:r>
        <w:rPr>
          <w:rStyle w:val="12"/>
          <w:rFonts w:hint="eastAsia" w:ascii="宋体" w:hAnsi="宋体"/>
          <w:kern w:val="0"/>
          <w:sz w:val="24"/>
          <w:lang w:val="en-US" w:eastAsia="zh-CN"/>
        </w:rPr>
        <w:t>一</w:t>
      </w:r>
      <w:r>
        <w:rPr>
          <w:rStyle w:val="12"/>
          <w:rFonts w:ascii="宋体" w:hAnsi="宋体"/>
          <w:kern w:val="0"/>
          <w:sz w:val="24"/>
        </w:rPr>
        <w:t>次会议　       　第</w:t>
      </w:r>
      <w:r>
        <w:rPr>
          <w:rStyle w:val="12"/>
          <w:rFonts w:hint="eastAsia" w:ascii="宋体" w:hAnsi="宋体"/>
          <w:kern w:val="0"/>
          <w:sz w:val="24"/>
          <w:lang w:val="en-US" w:eastAsia="zh-CN"/>
        </w:rPr>
        <w:t>214</w:t>
      </w:r>
      <w:r>
        <w:rPr>
          <w:rStyle w:val="12"/>
          <w:rFonts w:ascii="宋体" w:hAnsi="宋体"/>
          <w:kern w:val="0"/>
          <w:sz w:val="24"/>
        </w:rPr>
        <w:t xml:space="preserve">号　    </w:t>
      </w:r>
      <w:r>
        <w:rPr>
          <w:rStyle w:val="12"/>
          <w:rFonts w:hint="eastAsia" w:ascii="宋体" w:hAnsi="宋体"/>
          <w:kern w:val="0"/>
          <w:sz w:val="24"/>
        </w:rPr>
        <w:t xml:space="preserve">    </w:t>
      </w:r>
      <w:r>
        <w:rPr>
          <w:rStyle w:val="12"/>
          <w:rFonts w:hint="eastAsia" w:ascii="宋体" w:hAnsi="宋体"/>
          <w:kern w:val="0"/>
          <w:sz w:val="24"/>
          <w:lang w:val="en-US" w:eastAsia="zh-CN"/>
        </w:rPr>
        <w:t xml:space="preserve"> 类别：政治建设类     </w:t>
      </w:r>
    </w:p>
    <w:p>
      <w:pPr>
        <w:spacing w:line="320" w:lineRule="exact"/>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8"/>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案</w:t>
            </w:r>
            <w:r>
              <w:rPr>
                <w:rStyle w:val="12"/>
                <w:rFonts w:ascii="宋体" w:hAnsi="宋体" w:eastAsia="黑体" w:cs="宋体"/>
                <w:b/>
                <w:bCs/>
                <w:kern w:val="0"/>
                <w:sz w:val="24"/>
              </w:rPr>
              <w:t>  </w:t>
            </w:r>
            <w:r>
              <w:rPr>
                <w:rStyle w:val="12"/>
                <w:rFonts w:ascii="黑体" w:hAnsi="宋体" w:eastAsia="黑体" w:cs="宋体"/>
                <w:b/>
                <w:bCs/>
                <w:kern w:val="0"/>
                <w:sz w:val="24"/>
              </w:rPr>
              <w:t>由</w:t>
            </w:r>
            <w:r>
              <w:rPr>
                <w:rStyle w:val="12"/>
                <w:rFonts w:ascii="宋体" w:hAnsi="宋体" w:cs="宋体"/>
                <w:b/>
                <w:bCs/>
                <w:kern w:val="0"/>
                <w:sz w:val="24"/>
              </w:rPr>
              <w:t>：</w:t>
            </w:r>
          </w:p>
        </w:tc>
        <w:tc>
          <w:tcPr>
            <w:tcW w:w="6797" w:type="dxa"/>
            <w:gridSpan w:val="3"/>
            <w:vAlign w:val="center"/>
          </w:tcPr>
          <w:p>
            <w:pPr>
              <w:jc w:val="left"/>
              <w:rPr>
                <w:rStyle w:val="12"/>
                <w:rFonts w:ascii="宋体" w:hAnsi="宋体" w:cs="宋体"/>
                <w:b/>
                <w:bCs/>
                <w:kern w:val="0"/>
                <w:sz w:val="24"/>
              </w:rPr>
            </w:pPr>
            <w:r>
              <w:rPr>
                <w:rStyle w:val="12"/>
                <w:rFonts w:hint="eastAsia" w:ascii="宋体" w:hAnsi="宋体" w:cs="宋体"/>
                <w:b/>
                <w:bCs/>
                <w:kern w:val="0"/>
                <w:sz w:val="24"/>
              </w:rPr>
              <w:t>关于进一步放宽引进急需紧缺人才学历限制政策的建议</w:t>
            </w:r>
          </w:p>
        </w:tc>
      </w:tr>
      <w:tr>
        <w:tblPrEx>
          <w:tblCellMar>
            <w:top w:w="0" w:type="dxa"/>
            <w:left w:w="15" w:type="dxa"/>
            <w:bottom w:w="0" w:type="dxa"/>
            <w:right w:w="15" w:type="dxa"/>
          </w:tblCellMar>
        </w:tblPrEx>
        <w:tc>
          <w:tcPr>
            <w:tcW w:w="1753" w:type="dxa"/>
            <w:vAlign w:val="center"/>
          </w:tcPr>
          <w:p>
            <w:pPr>
              <w:jc w:val="left"/>
              <w:rPr>
                <w:rStyle w:val="12"/>
                <w:rFonts w:ascii="宋体" w:hAnsi="宋体"/>
                <w:kern w:val="0"/>
                <w:sz w:val="24"/>
              </w:rPr>
            </w:pPr>
            <w:r>
              <w:rPr>
                <w:rStyle w:val="12"/>
                <w:rFonts w:ascii="黑体" w:hAnsi="宋体" w:eastAsia="黑体" w:cs="宋体"/>
                <w:b/>
                <w:bCs/>
                <w:kern w:val="0"/>
                <w:sz w:val="24"/>
              </w:rPr>
              <w:t>审查意见</w:t>
            </w:r>
            <w:r>
              <w:rPr>
                <w:rStyle w:val="12"/>
                <w:rFonts w:ascii="宋体" w:hAnsi="宋体" w:cs="宋体"/>
                <w:b/>
                <w:bCs/>
                <w:kern w:val="0"/>
                <w:sz w:val="24"/>
              </w:rPr>
              <w:t>：</w:t>
            </w:r>
          </w:p>
        </w:tc>
        <w:tc>
          <w:tcPr>
            <w:tcW w:w="6797" w:type="dxa"/>
            <w:gridSpan w:val="3"/>
            <w:vAlign w:val="center"/>
          </w:tcPr>
          <w:p>
            <w:pPr>
              <w:jc w:val="left"/>
              <w:rPr>
                <w:rStyle w:val="12"/>
                <w:rFonts w:hint="default" w:ascii="宋体" w:hAnsi="宋体" w:eastAsia="宋体"/>
                <w:kern w:val="0"/>
                <w:sz w:val="24"/>
                <w:lang w:val="en-US" w:eastAsia="zh-CN"/>
              </w:rPr>
            </w:pPr>
            <w:r>
              <w:rPr>
                <w:rStyle w:val="12"/>
                <w:rFonts w:hint="eastAsia" w:ascii="宋体" w:hAnsi="宋体"/>
                <w:kern w:val="0"/>
                <w:sz w:val="24"/>
                <w:lang w:eastAsia="zh-CN"/>
              </w:rPr>
              <w:t>主办：</w:t>
            </w:r>
            <w:r>
              <w:rPr>
                <w:rFonts w:hint="eastAsia" w:ascii="宋体" w:hAnsi="宋体" w:cs="宋体"/>
                <w:kern w:val="0"/>
                <w:sz w:val="24"/>
              </w:rPr>
              <w:t>州</w:t>
            </w:r>
            <w:r>
              <w:rPr>
                <w:rFonts w:hint="eastAsia" w:ascii="宋体" w:hAnsi="宋体" w:cs="宋体"/>
                <w:kern w:val="0"/>
                <w:sz w:val="24"/>
                <w:lang w:eastAsia="zh-CN"/>
              </w:rPr>
              <w:t>人社局</w:t>
            </w:r>
            <w:r>
              <w:rPr>
                <w:rStyle w:val="12"/>
                <w:rFonts w:hint="eastAsia" w:ascii="宋体" w:hAnsi="宋体"/>
                <w:kern w:val="0"/>
                <w:sz w:val="24"/>
                <w:lang w:val="en-US" w:eastAsia="zh-CN"/>
              </w:rPr>
              <w:t xml:space="preserve"> 会办：州委组织部</w:t>
            </w:r>
          </w:p>
        </w:tc>
      </w:tr>
      <w:tr>
        <w:tblPrEx>
          <w:tblCellMar>
            <w:top w:w="0" w:type="dxa"/>
            <w:left w:w="15" w:type="dxa"/>
            <w:bottom w:w="0" w:type="dxa"/>
            <w:right w:w="15" w:type="dxa"/>
          </w:tblCellMar>
        </w:tblPrEx>
        <w:tc>
          <w:tcPr>
            <w:tcW w:w="1753" w:type="dxa"/>
            <w:vAlign w:val="center"/>
          </w:tcPr>
          <w:p>
            <w:pPr>
              <w:jc w:val="left"/>
              <w:rPr>
                <w:rStyle w:val="12"/>
                <w:rFonts w:ascii="黑体" w:hAnsi="宋体" w:eastAsia="黑体"/>
                <w:kern w:val="0"/>
                <w:sz w:val="24"/>
              </w:rPr>
            </w:pPr>
            <w:r>
              <w:rPr>
                <w:rStyle w:val="12"/>
                <w:rFonts w:ascii="黑体" w:hAnsi="宋体" w:eastAsia="黑体" w:cs="宋体"/>
                <w:b/>
                <w:bCs/>
                <w:kern w:val="0"/>
                <w:sz w:val="24"/>
              </w:rPr>
              <w:t>提</w:t>
            </w:r>
            <w:r>
              <w:rPr>
                <w:rStyle w:val="12"/>
                <w:rFonts w:ascii="宋体" w:hAnsi="宋体" w:eastAsia="黑体" w:cs="宋体"/>
                <w:b/>
                <w:bCs/>
                <w:kern w:val="0"/>
                <w:sz w:val="24"/>
              </w:rPr>
              <w:t> </w:t>
            </w:r>
            <w:r>
              <w:rPr>
                <w:rStyle w:val="12"/>
                <w:rFonts w:ascii="黑体" w:hAnsi="宋体" w:eastAsia="黑体" w:cs="宋体"/>
                <w:b/>
                <w:bCs/>
                <w:kern w:val="0"/>
                <w:sz w:val="24"/>
              </w:rPr>
              <w:t>案人</w:t>
            </w:r>
            <w:r>
              <w:rPr>
                <w:rStyle w:val="12"/>
                <w:rFonts w:ascii="宋体" w:hAnsi="宋体" w:eastAsia="黑体" w:cs="宋体"/>
                <w:b/>
                <w:bCs/>
                <w:kern w:val="0"/>
                <w:sz w:val="24"/>
              </w:rPr>
              <w:t>：</w:t>
            </w:r>
          </w:p>
        </w:tc>
        <w:tc>
          <w:tcPr>
            <w:tcW w:w="3872" w:type="dxa"/>
            <w:vAlign w:val="center"/>
          </w:tcPr>
          <w:p>
            <w:pPr>
              <w:jc w:val="left"/>
              <w:rPr>
                <w:rStyle w:val="12"/>
                <w:rFonts w:ascii="宋体" w:hAnsi="宋体"/>
                <w:kern w:val="0"/>
                <w:sz w:val="24"/>
              </w:rPr>
            </w:pPr>
            <w:r>
              <w:rPr>
                <w:rStyle w:val="12"/>
                <w:rFonts w:ascii="宋体" w:hAnsi="宋体" w:cs="宋体"/>
                <w:b/>
                <w:bCs/>
                <w:kern w:val="0"/>
                <w:sz w:val="24"/>
                <w:highlight w:val="none"/>
              </w:rPr>
              <w:t>通讯地址</w:t>
            </w:r>
          </w:p>
        </w:tc>
        <w:tc>
          <w:tcPr>
            <w:tcW w:w="1440" w:type="dxa"/>
            <w:vAlign w:val="center"/>
          </w:tcPr>
          <w:p>
            <w:pPr>
              <w:jc w:val="left"/>
              <w:rPr>
                <w:rStyle w:val="12"/>
                <w:rFonts w:ascii="宋体" w:hAnsi="宋体"/>
                <w:kern w:val="0"/>
                <w:sz w:val="24"/>
              </w:rPr>
            </w:pPr>
            <w:r>
              <w:rPr>
                <w:rStyle w:val="12"/>
                <w:rFonts w:ascii="宋体" w:hAnsi="宋体" w:cs="宋体"/>
                <w:b/>
                <w:bCs/>
                <w:kern w:val="0"/>
                <w:sz w:val="24"/>
              </w:rPr>
              <w:t>邮政编码</w:t>
            </w:r>
          </w:p>
        </w:tc>
        <w:tc>
          <w:tcPr>
            <w:tcW w:w="1485" w:type="dxa"/>
            <w:vAlign w:val="center"/>
          </w:tcPr>
          <w:p>
            <w:pPr>
              <w:jc w:val="left"/>
              <w:rPr>
                <w:rStyle w:val="12"/>
                <w:rFonts w:ascii="宋体" w:hAnsi="宋体"/>
                <w:kern w:val="0"/>
                <w:sz w:val="24"/>
              </w:rPr>
            </w:pPr>
            <w:r>
              <w:rPr>
                <w:rStyle w:val="12"/>
                <w:rFonts w:ascii="宋体" w:hAnsi="宋体" w:cs="宋体"/>
                <w:b/>
                <w:bCs/>
                <w:kern w:val="0"/>
                <w:sz w:val="24"/>
              </w:rPr>
              <w:t>联系电话</w:t>
            </w:r>
          </w:p>
        </w:tc>
      </w:tr>
      <w:tr>
        <w:tc>
          <w:tcPr>
            <w:tcW w:w="1753" w:type="dxa"/>
            <w:vAlign w:val="center"/>
          </w:tcPr>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刘文辉</w:t>
            </w:r>
          </w:p>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何洪道</w:t>
            </w:r>
          </w:p>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李燕</w:t>
            </w:r>
          </w:p>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龙道祥</w:t>
            </w:r>
          </w:p>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罗永祥</w:t>
            </w:r>
          </w:p>
        </w:tc>
        <w:tc>
          <w:tcPr>
            <w:tcW w:w="3872" w:type="dxa"/>
            <w:vAlign w:val="center"/>
          </w:tcPr>
          <w:p>
            <w:pPr>
              <w:widowControl/>
              <w:jc w:val="left"/>
              <w:rPr>
                <w:rStyle w:val="12"/>
                <w:rFonts w:hint="eastAsia" w:ascii="宋体" w:hAnsi="宋体" w:eastAsia="宋体"/>
                <w:kern w:val="0"/>
                <w:sz w:val="24"/>
                <w:szCs w:val="22"/>
                <w:lang w:val="en-US" w:eastAsia="zh-CN"/>
              </w:rPr>
            </w:pPr>
            <w:r>
              <w:rPr>
                <w:rStyle w:val="12"/>
                <w:rFonts w:hint="eastAsia" w:ascii="宋体" w:hAnsi="宋体" w:eastAsia="宋体"/>
                <w:kern w:val="0"/>
                <w:sz w:val="24"/>
                <w:szCs w:val="22"/>
                <w:lang w:val="en-US" w:eastAsia="zh-CN"/>
              </w:rPr>
              <w:t xml:space="preserve">岑巩县政协 </w:t>
            </w:r>
          </w:p>
          <w:p>
            <w:pPr>
              <w:widowControl/>
              <w:jc w:val="left"/>
              <w:rPr>
                <w:rStyle w:val="12"/>
                <w:rFonts w:hint="default" w:ascii="宋体" w:hAnsi="宋体" w:eastAsia="宋体"/>
                <w:kern w:val="0"/>
                <w:sz w:val="24"/>
                <w:szCs w:val="22"/>
                <w:lang w:val="en-US" w:eastAsia="zh-CN"/>
              </w:rPr>
            </w:pPr>
          </w:p>
        </w:tc>
        <w:tc>
          <w:tcPr>
            <w:tcW w:w="1440" w:type="dxa"/>
            <w:vAlign w:val="center"/>
          </w:tcPr>
          <w:p>
            <w:pPr>
              <w:widowControl/>
              <w:jc w:val="left"/>
              <w:rPr>
                <w:rStyle w:val="12"/>
                <w:rFonts w:hint="default" w:ascii="宋体" w:hAnsi="宋体" w:eastAsia="宋体"/>
                <w:kern w:val="0"/>
                <w:sz w:val="24"/>
                <w:lang w:val="en-US" w:eastAsia="zh-CN"/>
              </w:rPr>
            </w:pPr>
            <w:bookmarkStart w:id="0" w:name="_GoBack"/>
            <w:bookmarkEnd w:id="0"/>
            <w:r>
              <w:rPr>
                <w:rStyle w:val="12"/>
                <w:rFonts w:hint="default" w:ascii="宋体" w:hAnsi="宋体" w:eastAsia="宋体"/>
                <w:kern w:val="0"/>
                <w:sz w:val="24"/>
                <w:lang w:val="en-US" w:eastAsia="zh-CN"/>
              </w:rPr>
              <w:t>557800</w:t>
            </w:r>
          </w:p>
        </w:tc>
        <w:tc>
          <w:tcPr>
            <w:tcW w:w="1485" w:type="dxa"/>
            <w:vAlign w:val="center"/>
          </w:tcPr>
          <w:p>
            <w:pPr>
              <w:widowControl/>
              <w:jc w:val="left"/>
              <w:rPr>
                <w:rFonts w:hint="default"/>
                <w:lang w:val="en-US" w:eastAsia="zh-CN"/>
              </w:rPr>
            </w:pPr>
            <w:r>
              <w:rPr>
                <w:rStyle w:val="12"/>
                <w:rFonts w:hint="default" w:ascii="宋体" w:hAnsi="宋体" w:eastAsia="宋体"/>
                <w:kern w:val="0"/>
                <w:sz w:val="24"/>
                <w:szCs w:val="22"/>
                <w:lang w:val="en-US" w:eastAsia="zh-CN"/>
              </w:rPr>
              <w:t>13765592689</w:t>
            </w:r>
          </w:p>
        </w:tc>
      </w:tr>
      <w:tr>
        <w:tblPrEx>
          <w:tblCellMar>
            <w:top w:w="0" w:type="dxa"/>
            <w:left w:w="15" w:type="dxa"/>
            <w:bottom w:w="0" w:type="dxa"/>
            <w:right w:w="15" w:type="dxa"/>
          </w:tblCellMar>
        </w:tblPrEx>
        <w:tc>
          <w:tcPr>
            <w:tcW w:w="1753" w:type="dxa"/>
            <w:vAlign w:val="center"/>
          </w:tcPr>
          <w:p>
            <w:pPr>
              <w:jc w:val="left"/>
              <w:rPr>
                <w:rStyle w:val="12"/>
                <w:rFonts w:hint="eastAsia" w:ascii="宋体" w:hAnsi="宋体" w:eastAsia="宋体"/>
                <w:kern w:val="0"/>
                <w:sz w:val="24"/>
                <w:lang w:eastAsia="zh-CN"/>
              </w:rPr>
            </w:pPr>
            <w:r>
              <w:rPr>
                <w:rStyle w:val="12"/>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2"/>
                <w:rFonts w:hint="eastAsia" w:ascii="宋体" w:hAnsi="宋体"/>
                <w:kern w:val="0"/>
                <w:sz w:val="24"/>
                <w:lang w:val="en-US" w:eastAsia="zh-CN"/>
              </w:rPr>
            </w:pPr>
            <w:r>
              <w:rPr>
                <w:rStyle w:val="12"/>
                <w:rFonts w:hint="eastAsia" w:ascii="宋体" w:hAnsi="宋体"/>
                <w:kern w:val="0"/>
                <w:sz w:val="24"/>
                <w:lang w:eastAsia="zh-CN"/>
              </w:rPr>
              <w:t>州委办秘书五科：</w:t>
            </w:r>
            <w:r>
              <w:rPr>
                <w:rStyle w:val="12"/>
                <w:rFonts w:hint="eastAsia" w:ascii="宋体" w:hAnsi="宋体"/>
                <w:kern w:val="0"/>
                <w:sz w:val="24"/>
                <w:lang w:val="en-US" w:eastAsia="zh-CN"/>
              </w:rPr>
              <w:t>8270060；</w:t>
            </w:r>
            <w:r>
              <w:rPr>
                <w:rStyle w:val="12"/>
                <w:rFonts w:hint="eastAsia" w:ascii="宋体" w:hAnsi="宋体"/>
                <w:kern w:val="0"/>
                <w:sz w:val="24"/>
                <w:lang w:eastAsia="zh-CN"/>
              </w:rPr>
              <w:t>州政府办建议提案科：</w:t>
            </w:r>
            <w:r>
              <w:rPr>
                <w:rStyle w:val="12"/>
                <w:rFonts w:hint="eastAsia" w:ascii="宋体" w:hAnsi="宋体"/>
                <w:kern w:val="0"/>
                <w:sz w:val="24"/>
                <w:lang w:val="en-US" w:eastAsia="zh-CN"/>
              </w:rPr>
              <w:t>8260016；</w:t>
            </w:r>
          </w:p>
          <w:p>
            <w:pPr>
              <w:jc w:val="left"/>
              <w:rPr>
                <w:rStyle w:val="12"/>
                <w:rFonts w:hint="default" w:ascii="宋体" w:hAnsi="宋体"/>
                <w:kern w:val="0"/>
                <w:sz w:val="24"/>
                <w:lang w:val="en-US"/>
              </w:rPr>
            </w:pPr>
            <w:r>
              <w:rPr>
                <w:rStyle w:val="12"/>
                <w:rFonts w:hint="eastAsia" w:ascii="宋体" w:hAnsi="宋体"/>
                <w:kern w:val="0"/>
                <w:sz w:val="24"/>
                <w:lang w:eastAsia="zh-CN"/>
              </w:rPr>
              <w:t>州政协提案委：</w:t>
            </w:r>
            <w:r>
              <w:rPr>
                <w:rStyle w:val="12"/>
                <w:rFonts w:hint="eastAsia" w:ascii="宋体" w:hAnsi="宋体"/>
                <w:kern w:val="0"/>
                <w:sz w:val="24"/>
                <w:lang w:val="en-US" w:eastAsia="zh-CN"/>
              </w:rPr>
              <w:t>8428866</w:t>
            </w:r>
            <w:r>
              <w:rPr>
                <w:rStyle w:val="12"/>
                <w:rFonts w:hint="eastAsia" w:ascii="宋体" w:hAnsi="宋体"/>
                <w:kern w:val="0"/>
                <w:sz w:val="24"/>
                <w:lang w:eastAsia="zh-CN"/>
              </w:rPr>
              <w:t>。</w:t>
            </w:r>
          </w:p>
        </w:tc>
      </w:tr>
    </w:tbl>
    <w:p>
      <w:pPr>
        <w:jc w:val="left"/>
        <w:rPr>
          <w:rStyle w:val="12"/>
          <w:rFonts w:ascii="宋体" w:hAnsi="宋体"/>
          <w:kern w:val="0"/>
          <w:sz w:val="24"/>
        </w:rPr>
      </w:pPr>
      <w:r>
        <w:rPr>
          <w:rStyle w:val="12"/>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2"/>
          <w:rFonts w:hint="eastAsia" w:ascii="仿宋_GB2312" w:hAnsi="宋体" w:eastAsia="仿宋_GB2312"/>
          <w:kern w:val="0"/>
          <w:sz w:val="32"/>
          <w:szCs w:val="32"/>
        </w:rPr>
      </w:pPr>
      <w:r>
        <w:rPr>
          <w:rStyle w:val="12"/>
          <w:rFonts w:hint="eastAsia" w:ascii="仿宋_GB2312" w:hAnsi="宋体" w:eastAsia="仿宋_GB2312"/>
          <w:kern w:val="0"/>
          <w:sz w:val="32"/>
          <w:szCs w:val="32"/>
        </w:rPr>
        <w:t>内容和办法</w:t>
      </w:r>
      <w:r>
        <w:rPr>
          <w:rStyle w:val="12"/>
          <w:rFonts w:hint="eastAsia" w:ascii="仿宋_GB2312" w:hAnsi="宋体" w:eastAsia="仿宋_GB2312"/>
          <w:kern w:val="0"/>
          <w:sz w:val="32"/>
          <w:szCs w:val="32"/>
          <w:lang w:eastAsia="zh-CN"/>
        </w:rPr>
        <w:t>：</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根据《教育部关于做好2021届全国普通高校毕业生就业创业工作的通知》（教学[2021]5号）文件精神，按照州人社局2021年4月9日工作提示要求，从2021年起我州各县市在急需紧缺人才引进中，对于本科层级学历，一是不得将211、985等院校作为限制条件，二是不得限定学习方式（全日制、非全日制），实际上是将岗位学历要求放宽到所有院校符合条件的本科毕业生。但上级部门在对各县市引进急需紧缺人才计划申报备案审查实际工作中，除对卫生系统临床医学等少数专业允许设置本科层次条件外，其他部门引进急需紧缺人才的学历要求一律提升到硕士研究生层次以上。从一年来各县市引才工作成效来看，这一备案审查要求严重制约了基层引才工作的开展。为破解基层引才难的问题，建议落实中央、省、州关于引才工作相关文件精神，在备案审查工作中放宽各县市引进争急需紧缺人才学历层次限制。</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根据《黔东南州引进急需紧缺人才暂行办法》中有关学历要求的规定，普通本科学历层次毕业生属于我州急需紧缺人才引进范围。在备案审查实际工作中要求将学历层次提升到硕士研究生，既与上级要求放宽学历限制精神不一致，也违背了州级自己出台的相关政策规定。</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由于受地域环境和经济发展水平等因素制约，我州各县均属艰苦边远地区，发展平台和发展前景有很大局限，在教育、环境、待遇等各个方面与发达地区相比存在明显差距。一方面是各类人才特别是高层次人才不愿来基层工作；另一方面是作为县级用人平台，对于高层次人才的需求并不多。除了希望通过急需紧缺人才渠道引进通过公开招聘确实难以招录到的“紧缺人才”外，还想利用这个渠道引进符合各县经济社会发展需要的次高层次优秀人才。各县市为解决引才难问题，一是出台了相应的引才激励政策吸引人才、留住人才；二是结合基层实际需要调整引才方向和层次，将国内“双一流”本科院校优秀毕业生作为引才重点人群。通过这几年引进的“双一流”本科院校优秀毕业生工作业绩来看，效果较好。</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 xml:space="preserve">三、近年来，人才争夺战越来越激烈。从全国范围来看，除了中西部地区城市外，连北上广深等一线城市也加入了“抢才”行列；2021年7月，北京市发布《北京市引进毕业生管理办法》中将清华、北大和“华东五高校”（即：复旦大学、上海交通大学、南京大学、浙江大学、中国科学技术大学）本科毕业生作为可以直接落户北京对象。从周边地区看，铜仁、遵义等地区仍然将优秀本科毕业生作为引才对象，作为欠发达地区，我们对人才的吸引力本身就不强，对急需紧缺人才学历要求提升后，相当于堵死了国内“双一流”本科院校优秀毕业生进入我州工作服务的渠道，就是说连清华北大等名校本科毕业生也无法作为急需紧缺人才引进。有意愿来我省工作的优秀毕业生，只能选择铜仁、遵义等地区。这相当于我们自闭门户、自捆手脚，将有意愿来我州工作服务的优秀人才拱手让于人。 </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建议：</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我州进一步放宽急需紧缺人才学历层次限制，在不违背上级有关文件精神的前提下，采取灵活引才方式，引进符合各县市经济社会发展需要的优秀人才。</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一、对急需紧缺人才学历要求恢复到本科层次，但为避免各县市在引才工作中出现优亲厚友、萝卜招聘等现象，可以出台规范引才的相关措施，同时加大对引才工作的监督力度。一是本科层次的人才引进可以增加笔试环节，把好入口关；二是扩大进入面试比例（比如有的地区采取的1：6或1：10） ，通过面试面谈择优录取优秀人才，避免唯笔试分数论“英雄”现象发生；三是引才工作中组织、编办、人社、用人单位等全程参与、相互监督，同时邀请纪委监委或“两代表一委员”全程参与监督。</w:t>
      </w:r>
    </w:p>
    <w:p>
      <w:pPr>
        <w:spacing w:line="560" w:lineRule="exact"/>
        <w:ind w:firstLine="640" w:firstLineChars="200"/>
        <w:rPr>
          <w:rFonts w:hint="eastAsia" w:ascii="仿宋" w:hAnsi="仿宋" w:eastAsia="仿宋" w:cs="仿宋"/>
          <w:color w:val="333333"/>
          <w:sz w:val="32"/>
          <w:szCs w:val="32"/>
          <w:shd w:val="clear" w:color="auto" w:fill="FFFFFF"/>
          <w:lang w:val="en-US" w:eastAsia="zh-CN"/>
        </w:rPr>
      </w:pPr>
      <w:r>
        <w:rPr>
          <w:rFonts w:hint="eastAsia" w:ascii="仿宋" w:hAnsi="仿宋" w:eastAsia="仿宋" w:cs="仿宋"/>
          <w:color w:val="333333"/>
          <w:sz w:val="32"/>
          <w:szCs w:val="32"/>
          <w:shd w:val="clear" w:color="auto" w:fill="FFFFFF"/>
          <w:lang w:val="en-US" w:eastAsia="zh-CN"/>
        </w:rPr>
        <w:t>二、参考组织部门招录选调生和2022年教育部直属师范大学公费师范毕业生公开招聘做法，对本科层次的急需紧缺人才引进，采取对部分院校专项专场招聘的方式进行。对基层较为需求的教育类开展师范院校专场招聘、较为需求的医疗卫生类开展医科类大学专场招聘。</w:t>
      </w:r>
    </w:p>
    <w:p>
      <w:pPr>
        <w:spacing w:line="560" w:lineRule="exact"/>
        <w:ind w:firstLine="640" w:firstLineChars="200"/>
        <w:rPr>
          <w:rFonts w:hint="default" w:ascii="仿宋" w:hAnsi="仿宋" w:eastAsia="仿宋" w:cs="仿宋"/>
          <w:color w:val="333333"/>
          <w:sz w:val="32"/>
          <w:szCs w:val="32"/>
          <w:shd w:val="clear" w:color="auto" w:fill="FFFFFF"/>
          <w:lang w:val="en-US" w:eastAsia="zh-CN"/>
        </w:rPr>
      </w:pPr>
    </w:p>
    <w:p>
      <w:pPr>
        <w:spacing w:line="560" w:lineRule="exact"/>
        <w:ind w:firstLine="643" w:firstLineChars="200"/>
        <w:rPr>
          <w:rStyle w:val="12"/>
          <w:rFonts w:hint="eastAsia" w:ascii="仿宋" w:hAnsi="仿宋" w:eastAsia="仿宋" w:cs="仿宋"/>
          <w:kern w:val="0"/>
          <w:sz w:val="32"/>
          <w:szCs w:val="32"/>
          <w:lang w:val="en-US" w:eastAsia="zh-CN"/>
        </w:rPr>
      </w:pPr>
      <w:r>
        <w:rPr>
          <w:rStyle w:val="12"/>
          <w:rFonts w:hint="eastAsia" w:ascii="黑体" w:hAnsi="黑体" w:eastAsia="黑体" w:cs="黑体"/>
          <w:b/>
          <w:bCs/>
          <w:kern w:val="0"/>
          <w:sz w:val="32"/>
          <w:szCs w:val="32"/>
          <w:lang w:val="en-US" w:eastAsia="zh-CN"/>
        </w:rPr>
        <w:t>注：</w:t>
      </w:r>
      <w:r>
        <w:rPr>
          <w:rStyle w:val="12"/>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2"/>
          <w:rFonts w:hint="default" w:ascii="仿宋" w:hAnsi="仿宋" w:eastAsia="仿宋" w:cs="仿宋"/>
          <w:kern w:val="0"/>
          <w:sz w:val="32"/>
          <w:szCs w:val="32"/>
          <w:lang w:val="en-US" w:eastAsia="zh-CN"/>
        </w:rPr>
      </w:pPr>
      <w:r>
        <w:rPr>
          <w:rStyle w:val="12"/>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00007A87" w:usb1="80000000" w:usb2="00000008" w:usb3="00000000" w:csb0="400001FF" w:csb1="FFFF0000"/>
  </w:font>
  <w:font w:name="宋体">
    <w:panose1 w:val="02010600030101010101"/>
    <w:charset w:val="7A"/>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0000000000000000000"/>
    <w:charset w:val="00"/>
    <w:family w:val="auto"/>
    <w:pitch w:val="default"/>
    <w:sig w:usb0="00000000" w:usb1="00000000" w:usb2="00000000" w:usb3="00000000" w:csb0="0000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小标宋_GBK">
    <w:altName w:val="宋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6"/>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rPr>
        <w:rStyle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85639B7"/>
    <w:rsid w:val="0CFE2127"/>
    <w:rsid w:val="10B40BCC"/>
    <w:rsid w:val="10F40BE4"/>
    <w:rsid w:val="118823F2"/>
    <w:rsid w:val="14FB1B14"/>
    <w:rsid w:val="169647CD"/>
    <w:rsid w:val="18EC1E64"/>
    <w:rsid w:val="1A917DD9"/>
    <w:rsid w:val="1BAB45FA"/>
    <w:rsid w:val="1C3D0309"/>
    <w:rsid w:val="20790890"/>
    <w:rsid w:val="209D5BC6"/>
    <w:rsid w:val="21EA0B57"/>
    <w:rsid w:val="255649A8"/>
    <w:rsid w:val="278B5D37"/>
    <w:rsid w:val="285B3E37"/>
    <w:rsid w:val="29516A7C"/>
    <w:rsid w:val="29EB237C"/>
    <w:rsid w:val="2B91741D"/>
    <w:rsid w:val="2C125075"/>
    <w:rsid w:val="2DED1791"/>
    <w:rsid w:val="2E26699A"/>
    <w:rsid w:val="2FD84B80"/>
    <w:rsid w:val="30B878C9"/>
    <w:rsid w:val="33552650"/>
    <w:rsid w:val="377737A4"/>
    <w:rsid w:val="38512AAE"/>
    <w:rsid w:val="38D60616"/>
    <w:rsid w:val="38E6072A"/>
    <w:rsid w:val="3A7B4D73"/>
    <w:rsid w:val="3F1A5C90"/>
    <w:rsid w:val="42F10C9F"/>
    <w:rsid w:val="43953D03"/>
    <w:rsid w:val="470F7444"/>
    <w:rsid w:val="48F66091"/>
    <w:rsid w:val="4A196944"/>
    <w:rsid w:val="4AFB1C7E"/>
    <w:rsid w:val="4E0963F8"/>
    <w:rsid w:val="4F6B5D70"/>
    <w:rsid w:val="507F065A"/>
    <w:rsid w:val="51B406C1"/>
    <w:rsid w:val="52263247"/>
    <w:rsid w:val="5236789E"/>
    <w:rsid w:val="556B0F96"/>
    <w:rsid w:val="559F1A55"/>
    <w:rsid w:val="55B805B9"/>
    <w:rsid w:val="58167D2D"/>
    <w:rsid w:val="5902530C"/>
    <w:rsid w:val="5A7C34BF"/>
    <w:rsid w:val="5AA17385"/>
    <w:rsid w:val="5B55151A"/>
    <w:rsid w:val="5B564800"/>
    <w:rsid w:val="5B7C24C8"/>
    <w:rsid w:val="5C342431"/>
    <w:rsid w:val="5F1D4C21"/>
    <w:rsid w:val="5FDA608F"/>
    <w:rsid w:val="617E5CD0"/>
    <w:rsid w:val="61895CCF"/>
    <w:rsid w:val="61C325AD"/>
    <w:rsid w:val="62384D4B"/>
    <w:rsid w:val="64010D57"/>
    <w:rsid w:val="66F35DD9"/>
    <w:rsid w:val="67AD6576"/>
    <w:rsid w:val="6854075C"/>
    <w:rsid w:val="69A37ABB"/>
    <w:rsid w:val="6A9524E1"/>
    <w:rsid w:val="6AA44A20"/>
    <w:rsid w:val="73746A5F"/>
    <w:rsid w:val="74007530"/>
    <w:rsid w:val="75E22452"/>
    <w:rsid w:val="77DC05AA"/>
    <w:rsid w:val="78421D59"/>
    <w:rsid w:val="7AF667DD"/>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pPr>
  </w:style>
  <w:style w:type="paragraph" w:customStyle="1" w:styleId="3">
    <w:name w:val="正文 New New New"/>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Normal (Web)"/>
    <w:basedOn w:val="1"/>
    <w:next w:val="5"/>
    <w:qFormat/>
    <w:uiPriority w:val="0"/>
    <w:pPr>
      <w:spacing w:beforeAutospacing="1" w:afterAutospacing="1"/>
      <w:jc w:val="left"/>
    </w:pPr>
    <w:rPr>
      <w:kern w:val="0"/>
      <w:sz w:val="24"/>
    </w:rPr>
  </w:style>
  <w:style w:type="paragraph" w:styleId="5">
    <w:name w:val="index 9"/>
    <w:next w:val="1"/>
    <w:qFormat/>
    <w:uiPriority w:val="0"/>
    <w:pPr>
      <w:widowControl w:val="0"/>
      <w:ind w:left="1600" w:leftChars="1600"/>
      <w:jc w:val="both"/>
    </w:pPr>
    <w:rPr>
      <w:rFonts w:ascii="Times New Roman" w:hAnsi="Times New Roman" w:eastAsia="宋体" w:cs="Times New Roman"/>
      <w:kern w:val="2"/>
      <w:sz w:val="21"/>
      <w:szCs w:val="24"/>
      <w:lang w:val="en-US" w:eastAsia="zh-CN" w:bidi="ar-SA"/>
    </w:rPr>
  </w:style>
  <w:style w:type="paragraph" w:styleId="6">
    <w:name w:val="footer"/>
    <w:basedOn w:val="1"/>
    <w:link w:val="22"/>
    <w:qFormat/>
    <w:uiPriority w:val="99"/>
    <w:pPr>
      <w:snapToGrid w:val="0"/>
      <w:jc w:val="left"/>
    </w:pPr>
    <w:rPr>
      <w:sz w:val="18"/>
      <w:szCs w:val="18"/>
    </w:rPr>
  </w:style>
  <w:style w:type="paragraph" w:styleId="7">
    <w:name w:val="header"/>
    <w:basedOn w:val="1"/>
    <w:qFormat/>
    <w:uiPriority w:val="0"/>
    <w:pPr>
      <w:pBdr>
        <w:bottom w:val="single" w:color="000000" w:sz="6" w:space="0"/>
      </w:pBdr>
      <w:snapToGrid w:val="0"/>
      <w:jc w:val="center"/>
    </w:pPr>
    <w:rPr>
      <w:sz w:val="18"/>
      <w:szCs w:val="18"/>
    </w:rPr>
  </w:style>
  <w:style w:type="character" w:styleId="10">
    <w:name w:val="Strong"/>
    <w:qFormat/>
    <w:uiPriority w:val="0"/>
    <w:rPr>
      <w:rFonts w:cs="Times New Roman"/>
      <w:b/>
      <w:bCs/>
    </w:rPr>
  </w:style>
  <w:style w:type="character" w:styleId="11">
    <w:name w:val="Hyperlink"/>
    <w:basedOn w:val="12"/>
    <w:semiHidden/>
    <w:qFormat/>
    <w:uiPriority w:val="0"/>
    <w:rPr>
      <w:color w:val="0000FF"/>
      <w:u w:val="single"/>
    </w:rPr>
  </w:style>
  <w:style w:type="character" w:customStyle="1" w:styleId="12">
    <w:name w:val="NormalCharacter"/>
    <w:semiHidden/>
    <w:qFormat/>
    <w:uiPriority w:val="0"/>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2"/>
    <w:link w:val="13"/>
    <w:qFormat/>
    <w:uiPriority w:val="0"/>
    <w:rPr>
      <w:rFonts w:ascii="宋体" w:hAnsi="宋体" w:cs="宋体"/>
      <w:b/>
      <w:bCs/>
      <w:kern w:val="36"/>
      <w:sz w:val="48"/>
      <w:szCs w:val="48"/>
    </w:rPr>
  </w:style>
  <w:style w:type="character" w:customStyle="1" w:styleId="20">
    <w:name w:val="UserStyle_4"/>
    <w:basedOn w:val="12"/>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9"/>
    <w:link w:val="6"/>
    <w:qFormat/>
    <w:uiPriority w:val="99"/>
    <w:rPr>
      <w:rFonts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TotalTime>
  <ScaleCrop>false</ScaleCrop>
  <LinksUpToDate>false</LinksUpToDate>
  <CharactersWithSpaces>2054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2022-01-06T07:34:35Z</cp:lastPrinted>
  <dcterms:modified xsi:type="dcterms:W3CDTF">2022-01-06T08:59:55Z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0BEFFA9D6DA34548976C4312CA596319</vt:lpwstr>
  </property>
</Properties>
</file>